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BDCE" w14:textId="77777777" w:rsidR="00985C44" w:rsidRDefault="00985C44" w:rsidP="00E5577F">
      <w:pPr>
        <w:spacing w:after="200" w:line="276" w:lineRule="auto"/>
        <w:rPr>
          <w:rFonts w:ascii="Arial" w:hAnsi="Arial" w:cs="Arial"/>
          <w:b/>
          <w:sz w:val="28"/>
          <w:szCs w:val="28"/>
        </w:rPr>
      </w:pPr>
      <w:bookmarkStart w:id="0" w:name="_Toc359336481"/>
    </w:p>
    <w:p w14:paraId="6B1201EF" w14:textId="6E88D35E" w:rsidR="003150FA" w:rsidRDefault="007C5366" w:rsidP="00E5577F">
      <w:pPr>
        <w:spacing w:after="200" w:line="276" w:lineRule="auto"/>
        <w:rPr>
          <w:rFonts w:ascii="Arial" w:hAnsi="Arial" w:cs="Arial"/>
          <w:b/>
          <w:sz w:val="28"/>
          <w:szCs w:val="28"/>
        </w:rPr>
      </w:pPr>
      <w:r>
        <w:rPr>
          <w:rFonts w:ascii="Arial" w:hAnsi="Arial" w:cs="Arial"/>
          <w:b/>
          <w:sz w:val="28"/>
          <w:szCs w:val="28"/>
        </w:rPr>
        <w:t>Read and Understood</w:t>
      </w:r>
    </w:p>
    <w:p w14:paraId="7F5D3B53" w14:textId="5A1F28B8" w:rsidR="007C5366" w:rsidRDefault="007C5366" w:rsidP="007C5366">
      <w:pPr>
        <w:spacing w:after="200" w:line="276" w:lineRule="auto"/>
        <w:rPr>
          <w:rFonts w:ascii="Arial" w:hAnsi="Arial" w:cs="Arial"/>
          <w:b/>
          <w:sz w:val="28"/>
          <w:szCs w:val="28"/>
        </w:rPr>
      </w:pPr>
      <w:r>
        <w:rPr>
          <w:rFonts w:ascii="Arial" w:hAnsi="Arial" w:cs="Arial"/>
          <w:b/>
          <w:sz w:val="28"/>
          <w:szCs w:val="28"/>
        </w:rPr>
        <w:t>Officers</w:t>
      </w:r>
    </w:p>
    <w:tbl>
      <w:tblPr>
        <w:tblStyle w:val="TableGrid"/>
        <w:tblW w:w="9034" w:type="dxa"/>
        <w:tblLook w:val="04A0" w:firstRow="1" w:lastRow="0" w:firstColumn="1" w:lastColumn="0" w:noHBand="0" w:noVBand="1"/>
      </w:tblPr>
      <w:tblGrid>
        <w:gridCol w:w="2122"/>
        <w:gridCol w:w="992"/>
        <w:gridCol w:w="992"/>
        <w:gridCol w:w="567"/>
        <w:gridCol w:w="2268"/>
        <w:gridCol w:w="1052"/>
        <w:gridCol w:w="1041"/>
      </w:tblGrid>
      <w:tr w:rsidR="00E5577F" w14:paraId="35597635" w14:textId="77777777" w:rsidTr="002A067B">
        <w:trPr>
          <w:trHeight w:val="432"/>
        </w:trPr>
        <w:tc>
          <w:tcPr>
            <w:tcW w:w="2122" w:type="dxa"/>
          </w:tcPr>
          <w:p w14:paraId="01B001A1" w14:textId="77777777" w:rsidR="00E5577F" w:rsidRDefault="00E5577F" w:rsidP="002A067B">
            <w:pPr>
              <w:spacing w:line="276" w:lineRule="auto"/>
              <w:rPr>
                <w:rFonts w:ascii="Arial" w:hAnsi="Arial" w:cs="Arial"/>
                <w:b/>
                <w:sz w:val="28"/>
                <w:szCs w:val="28"/>
              </w:rPr>
            </w:pPr>
            <w:r>
              <w:rPr>
                <w:rFonts w:ascii="Arial" w:hAnsi="Arial" w:cs="Arial"/>
                <w:b/>
                <w:sz w:val="28"/>
                <w:szCs w:val="28"/>
              </w:rPr>
              <w:t>Name</w:t>
            </w:r>
          </w:p>
        </w:tc>
        <w:tc>
          <w:tcPr>
            <w:tcW w:w="992" w:type="dxa"/>
          </w:tcPr>
          <w:p w14:paraId="583B402C" w14:textId="77777777" w:rsidR="00E5577F" w:rsidRDefault="00E5577F" w:rsidP="002A067B">
            <w:pPr>
              <w:spacing w:line="276" w:lineRule="auto"/>
              <w:rPr>
                <w:rFonts w:ascii="Arial" w:hAnsi="Arial" w:cs="Arial"/>
                <w:b/>
                <w:sz w:val="28"/>
                <w:szCs w:val="28"/>
              </w:rPr>
            </w:pPr>
            <w:r>
              <w:rPr>
                <w:rFonts w:ascii="Arial" w:hAnsi="Arial" w:cs="Arial"/>
                <w:b/>
                <w:sz w:val="28"/>
                <w:szCs w:val="28"/>
              </w:rPr>
              <w:t>Initial</w:t>
            </w:r>
          </w:p>
        </w:tc>
        <w:tc>
          <w:tcPr>
            <w:tcW w:w="992" w:type="dxa"/>
            <w:tcBorders>
              <w:right w:val="single" w:sz="4" w:space="0" w:color="auto"/>
            </w:tcBorders>
          </w:tcPr>
          <w:p w14:paraId="7419CB26" w14:textId="77777777" w:rsidR="00E5577F" w:rsidRDefault="00E5577F" w:rsidP="002A067B">
            <w:pPr>
              <w:spacing w:line="276" w:lineRule="auto"/>
              <w:rPr>
                <w:rFonts w:ascii="Arial" w:hAnsi="Arial" w:cs="Arial"/>
                <w:b/>
                <w:sz w:val="28"/>
                <w:szCs w:val="28"/>
              </w:rPr>
            </w:pPr>
            <w:r>
              <w:rPr>
                <w:rFonts w:ascii="Arial" w:hAnsi="Arial" w:cs="Arial"/>
                <w:b/>
                <w:sz w:val="28"/>
                <w:szCs w:val="28"/>
              </w:rPr>
              <w:t>Date</w:t>
            </w:r>
          </w:p>
        </w:tc>
        <w:tc>
          <w:tcPr>
            <w:tcW w:w="567" w:type="dxa"/>
            <w:tcBorders>
              <w:top w:val="nil"/>
              <w:left w:val="single" w:sz="4" w:space="0" w:color="auto"/>
              <w:bottom w:val="nil"/>
              <w:right w:val="single" w:sz="4" w:space="0" w:color="auto"/>
            </w:tcBorders>
          </w:tcPr>
          <w:p w14:paraId="1C93689E" w14:textId="77777777" w:rsidR="00E5577F" w:rsidRDefault="00E5577F" w:rsidP="002A067B">
            <w:pPr>
              <w:spacing w:line="276" w:lineRule="auto"/>
              <w:rPr>
                <w:rFonts w:ascii="Arial" w:hAnsi="Arial" w:cs="Arial"/>
                <w:b/>
                <w:sz w:val="28"/>
                <w:szCs w:val="28"/>
              </w:rPr>
            </w:pPr>
          </w:p>
        </w:tc>
        <w:tc>
          <w:tcPr>
            <w:tcW w:w="2268" w:type="dxa"/>
            <w:tcBorders>
              <w:left w:val="single" w:sz="4" w:space="0" w:color="auto"/>
            </w:tcBorders>
          </w:tcPr>
          <w:p w14:paraId="5E2139F5" w14:textId="77777777" w:rsidR="00E5577F" w:rsidRDefault="00E5577F" w:rsidP="002A067B">
            <w:pPr>
              <w:spacing w:line="276" w:lineRule="auto"/>
              <w:rPr>
                <w:rFonts w:ascii="Arial" w:hAnsi="Arial" w:cs="Arial"/>
                <w:b/>
                <w:sz w:val="28"/>
                <w:szCs w:val="28"/>
              </w:rPr>
            </w:pPr>
            <w:r>
              <w:rPr>
                <w:rFonts w:ascii="Arial" w:hAnsi="Arial" w:cs="Arial"/>
                <w:b/>
                <w:sz w:val="28"/>
                <w:szCs w:val="28"/>
              </w:rPr>
              <w:t>Name</w:t>
            </w:r>
          </w:p>
        </w:tc>
        <w:tc>
          <w:tcPr>
            <w:tcW w:w="1052" w:type="dxa"/>
          </w:tcPr>
          <w:p w14:paraId="3BB94D90" w14:textId="77777777" w:rsidR="00E5577F" w:rsidRDefault="00E5577F" w:rsidP="002A067B">
            <w:pPr>
              <w:spacing w:line="276" w:lineRule="auto"/>
              <w:rPr>
                <w:rFonts w:ascii="Arial" w:hAnsi="Arial" w:cs="Arial"/>
                <w:b/>
                <w:sz w:val="28"/>
                <w:szCs w:val="28"/>
              </w:rPr>
            </w:pPr>
            <w:r>
              <w:rPr>
                <w:rFonts w:ascii="Arial" w:hAnsi="Arial" w:cs="Arial"/>
                <w:b/>
                <w:sz w:val="28"/>
                <w:szCs w:val="28"/>
              </w:rPr>
              <w:t>Initial</w:t>
            </w:r>
          </w:p>
        </w:tc>
        <w:tc>
          <w:tcPr>
            <w:tcW w:w="1041" w:type="dxa"/>
          </w:tcPr>
          <w:p w14:paraId="4EE153D2" w14:textId="77777777" w:rsidR="00E5577F" w:rsidRDefault="00E5577F" w:rsidP="002A067B">
            <w:pPr>
              <w:spacing w:line="276" w:lineRule="auto"/>
              <w:rPr>
                <w:rFonts w:ascii="Arial" w:hAnsi="Arial" w:cs="Arial"/>
                <w:b/>
                <w:sz w:val="28"/>
                <w:szCs w:val="28"/>
              </w:rPr>
            </w:pPr>
            <w:r>
              <w:rPr>
                <w:rFonts w:ascii="Arial" w:hAnsi="Arial" w:cs="Arial"/>
                <w:b/>
                <w:sz w:val="28"/>
                <w:szCs w:val="28"/>
              </w:rPr>
              <w:t>Date</w:t>
            </w:r>
          </w:p>
        </w:tc>
      </w:tr>
      <w:tr w:rsidR="00E5577F" w14:paraId="65769F94" w14:textId="77777777" w:rsidTr="002A067B">
        <w:trPr>
          <w:trHeight w:val="426"/>
        </w:trPr>
        <w:tc>
          <w:tcPr>
            <w:tcW w:w="2122" w:type="dxa"/>
          </w:tcPr>
          <w:p w14:paraId="44189DB4" w14:textId="77777777" w:rsidR="00E5577F" w:rsidRDefault="00E5577F" w:rsidP="002A067B">
            <w:pPr>
              <w:spacing w:line="276" w:lineRule="auto"/>
              <w:rPr>
                <w:rFonts w:ascii="Arial" w:hAnsi="Arial" w:cs="Arial"/>
                <w:b/>
                <w:sz w:val="28"/>
                <w:szCs w:val="28"/>
              </w:rPr>
            </w:pPr>
          </w:p>
        </w:tc>
        <w:tc>
          <w:tcPr>
            <w:tcW w:w="992" w:type="dxa"/>
          </w:tcPr>
          <w:p w14:paraId="7F66E30B" w14:textId="77777777" w:rsidR="00E5577F" w:rsidRDefault="00E5577F" w:rsidP="002A067B">
            <w:pPr>
              <w:spacing w:line="276" w:lineRule="auto"/>
              <w:rPr>
                <w:rFonts w:ascii="Arial" w:hAnsi="Arial" w:cs="Arial"/>
                <w:b/>
                <w:sz w:val="28"/>
                <w:szCs w:val="28"/>
              </w:rPr>
            </w:pPr>
          </w:p>
        </w:tc>
        <w:tc>
          <w:tcPr>
            <w:tcW w:w="992" w:type="dxa"/>
            <w:tcBorders>
              <w:right w:val="single" w:sz="4" w:space="0" w:color="auto"/>
            </w:tcBorders>
          </w:tcPr>
          <w:p w14:paraId="29212957" w14:textId="77777777" w:rsidR="00E5577F" w:rsidRDefault="00E5577F" w:rsidP="002A067B">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783BAA52" w14:textId="77777777" w:rsidR="00E5577F" w:rsidRDefault="00E5577F" w:rsidP="002A067B">
            <w:pPr>
              <w:spacing w:line="276" w:lineRule="auto"/>
              <w:rPr>
                <w:rFonts w:ascii="Arial" w:hAnsi="Arial" w:cs="Arial"/>
                <w:b/>
                <w:sz w:val="28"/>
                <w:szCs w:val="28"/>
              </w:rPr>
            </w:pPr>
          </w:p>
        </w:tc>
        <w:tc>
          <w:tcPr>
            <w:tcW w:w="2268" w:type="dxa"/>
            <w:tcBorders>
              <w:left w:val="single" w:sz="4" w:space="0" w:color="auto"/>
            </w:tcBorders>
          </w:tcPr>
          <w:p w14:paraId="24020314" w14:textId="77777777" w:rsidR="00E5577F" w:rsidRDefault="00E5577F" w:rsidP="002A067B">
            <w:pPr>
              <w:spacing w:line="276" w:lineRule="auto"/>
              <w:rPr>
                <w:rFonts w:ascii="Arial" w:hAnsi="Arial" w:cs="Arial"/>
                <w:b/>
                <w:sz w:val="28"/>
                <w:szCs w:val="28"/>
              </w:rPr>
            </w:pPr>
          </w:p>
        </w:tc>
        <w:tc>
          <w:tcPr>
            <w:tcW w:w="1052" w:type="dxa"/>
          </w:tcPr>
          <w:p w14:paraId="7C3CD055" w14:textId="77777777" w:rsidR="00E5577F" w:rsidRDefault="00E5577F" w:rsidP="002A067B">
            <w:pPr>
              <w:spacing w:line="276" w:lineRule="auto"/>
              <w:rPr>
                <w:rFonts w:ascii="Arial" w:hAnsi="Arial" w:cs="Arial"/>
                <w:b/>
                <w:sz w:val="28"/>
                <w:szCs w:val="28"/>
              </w:rPr>
            </w:pPr>
          </w:p>
        </w:tc>
        <w:tc>
          <w:tcPr>
            <w:tcW w:w="1041" w:type="dxa"/>
          </w:tcPr>
          <w:p w14:paraId="44114451" w14:textId="77777777" w:rsidR="00E5577F" w:rsidRDefault="00E5577F" w:rsidP="002A067B">
            <w:pPr>
              <w:spacing w:line="276" w:lineRule="auto"/>
              <w:rPr>
                <w:rFonts w:ascii="Arial" w:hAnsi="Arial" w:cs="Arial"/>
                <w:b/>
                <w:sz w:val="28"/>
                <w:szCs w:val="28"/>
              </w:rPr>
            </w:pPr>
          </w:p>
        </w:tc>
      </w:tr>
      <w:tr w:rsidR="00E5577F" w14:paraId="4A44A7C6" w14:textId="77777777" w:rsidTr="002A067B">
        <w:trPr>
          <w:trHeight w:val="432"/>
        </w:trPr>
        <w:tc>
          <w:tcPr>
            <w:tcW w:w="2122" w:type="dxa"/>
          </w:tcPr>
          <w:p w14:paraId="12D4EDE6" w14:textId="77777777" w:rsidR="00E5577F" w:rsidRDefault="00E5577F" w:rsidP="002A067B">
            <w:pPr>
              <w:spacing w:line="276" w:lineRule="auto"/>
              <w:rPr>
                <w:rFonts w:ascii="Arial" w:hAnsi="Arial" w:cs="Arial"/>
                <w:b/>
                <w:sz w:val="28"/>
                <w:szCs w:val="28"/>
              </w:rPr>
            </w:pPr>
          </w:p>
        </w:tc>
        <w:tc>
          <w:tcPr>
            <w:tcW w:w="992" w:type="dxa"/>
          </w:tcPr>
          <w:p w14:paraId="0DB75112" w14:textId="77777777" w:rsidR="00E5577F" w:rsidRDefault="00E5577F" w:rsidP="002A067B">
            <w:pPr>
              <w:spacing w:line="276" w:lineRule="auto"/>
              <w:rPr>
                <w:rFonts w:ascii="Arial" w:hAnsi="Arial" w:cs="Arial"/>
                <w:b/>
                <w:sz w:val="28"/>
                <w:szCs w:val="28"/>
              </w:rPr>
            </w:pPr>
          </w:p>
        </w:tc>
        <w:tc>
          <w:tcPr>
            <w:tcW w:w="992" w:type="dxa"/>
            <w:tcBorders>
              <w:right w:val="single" w:sz="4" w:space="0" w:color="auto"/>
            </w:tcBorders>
          </w:tcPr>
          <w:p w14:paraId="4CADE213" w14:textId="77777777" w:rsidR="00E5577F" w:rsidRDefault="00E5577F" w:rsidP="002A067B">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45C6D821" w14:textId="77777777" w:rsidR="00E5577F" w:rsidRDefault="00E5577F" w:rsidP="002A067B">
            <w:pPr>
              <w:spacing w:line="276" w:lineRule="auto"/>
              <w:rPr>
                <w:rFonts w:ascii="Arial" w:hAnsi="Arial" w:cs="Arial"/>
                <w:b/>
                <w:sz w:val="28"/>
                <w:szCs w:val="28"/>
              </w:rPr>
            </w:pPr>
          </w:p>
        </w:tc>
        <w:tc>
          <w:tcPr>
            <w:tcW w:w="2268" w:type="dxa"/>
            <w:tcBorders>
              <w:left w:val="single" w:sz="4" w:space="0" w:color="auto"/>
            </w:tcBorders>
          </w:tcPr>
          <w:p w14:paraId="785E5309" w14:textId="77777777" w:rsidR="00E5577F" w:rsidRDefault="00E5577F" w:rsidP="002A067B">
            <w:pPr>
              <w:spacing w:line="276" w:lineRule="auto"/>
              <w:rPr>
                <w:rFonts w:ascii="Arial" w:hAnsi="Arial" w:cs="Arial"/>
                <w:b/>
                <w:sz w:val="28"/>
                <w:szCs w:val="28"/>
              </w:rPr>
            </w:pPr>
          </w:p>
        </w:tc>
        <w:tc>
          <w:tcPr>
            <w:tcW w:w="1052" w:type="dxa"/>
          </w:tcPr>
          <w:p w14:paraId="55A4736F" w14:textId="77777777" w:rsidR="00E5577F" w:rsidRDefault="00E5577F" w:rsidP="002A067B">
            <w:pPr>
              <w:spacing w:line="276" w:lineRule="auto"/>
              <w:rPr>
                <w:rFonts w:ascii="Arial" w:hAnsi="Arial" w:cs="Arial"/>
                <w:b/>
                <w:sz w:val="28"/>
                <w:szCs w:val="28"/>
              </w:rPr>
            </w:pPr>
          </w:p>
        </w:tc>
        <w:tc>
          <w:tcPr>
            <w:tcW w:w="1041" w:type="dxa"/>
          </w:tcPr>
          <w:p w14:paraId="20ED4A35" w14:textId="77777777" w:rsidR="00E5577F" w:rsidRDefault="00E5577F" w:rsidP="002A067B">
            <w:pPr>
              <w:spacing w:line="276" w:lineRule="auto"/>
              <w:rPr>
                <w:rFonts w:ascii="Arial" w:hAnsi="Arial" w:cs="Arial"/>
                <w:b/>
                <w:sz w:val="28"/>
                <w:szCs w:val="28"/>
              </w:rPr>
            </w:pPr>
          </w:p>
        </w:tc>
      </w:tr>
      <w:tr w:rsidR="00E5577F" w14:paraId="57228EC3" w14:textId="77777777" w:rsidTr="002A067B">
        <w:trPr>
          <w:trHeight w:val="432"/>
        </w:trPr>
        <w:tc>
          <w:tcPr>
            <w:tcW w:w="2122" w:type="dxa"/>
          </w:tcPr>
          <w:p w14:paraId="46E52C93" w14:textId="77777777" w:rsidR="00E5577F" w:rsidRDefault="00E5577F" w:rsidP="002A067B">
            <w:pPr>
              <w:spacing w:line="276" w:lineRule="auto"/>
              <w:rPr>
                <w:rFonts w:ascii="Arial" w:hAnsi="Arial" w:cs="Arial"/>
                <w:b/>
                <w:sz w:val="28"/>
                <w:szCs w:val="28"/>
              </w:rPr>
            </w:pPr>
          </w:p>
        </w:tc>
        <w:tc>
          <w:tcPr>
            <w:tcW w:w="992" w:type="dxa"/>
          </w:tcPr>
          <w:p w14:paraId="60EBCE7B" w14:textId="77777777" w:rsidR="00E5577F" w:rsidRDefault="00E5577F" w:rsidP="002A067B">
            <w:pPr>
              <w:spacing w:line="276" w:lineRule="auto"/>
              <w:rPr>
                <w:rFonts w:ascii="Arial" w:hAnsi="Arial" w:cs="Arial"/>
                <w:b/>
                <w:sz w:val="28"/>
                <w:szCs w:val="28"/>
              </w:rPr>
            </w:pPr>
          </w:p>
        </w:tc>
        <w:tc>
          <w:tcPr>
            <w:tcW w:w="992" w:type="dxa"/>
            <w:tcBorders>
              <w:right w:val="single" w:sz="4" w:space="0" w:color="auto"/>
            </w:tcBorders>
          </w:tcPr>
          <w:p w14:paraId="515D1EAC" w14:textId="77777777" w:rsidR="00E5577F" w:rsidRDefault="00E5577F" w:rsidP="002A067B">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7C6E8C17" w14:textId="77777777" w:rsidR="00E5577F" w:rsidRDefault="00E5577F" w:rsidP="002A067B">
            <w:pPr>
              <w:spacing w:line="276" w:lineRule="auto"/>
              <w:rPr>
                <w:rFonts w:ascii="Arial" w:hAnsi="Arial" w:cs="Arial"/>
                <w:b/>
                <w:sz w:val="28"/>
                <w:szCs w:val="28"/>
              </w:rPr>
            </w:pPr>
          </w:p>
        </w:tc>
        <w:tc>
          <w:tcPr>
            <w:tcW w:w="2268" w:type="dxa"/>
            <w:tcBorders>
              <w:left w:val="single" w:sz="4" w:space="0" w:color="auto"/>
            </w:tcBorders>
          </w:tcPr>
          <w:p w14:paraId="380145DE" w14:textId="77777777" w:rsidR="00E5577F" w:rsidRDefault="00E5577F" w:rsidP="002A067B">
            <w:pPr>
              <w:spacing w:line="276" w:lineRule="auto"/>
              <w:rPr>
                <w:rFonts w:ascii="Arial" w:hAnsi="Arial" w:cs="Arial"/>
                <w:b/>
                <w:sz w:val="28"/>
                <w:szCs w:val="28"/>
              </w:rPr>
            </w:pPr>
          </w:p>
        </w:tc>
        <w:tc>
          <w:tcPr>
            <w:tcW w:w="1052" w:type="dxa"/>
          </w:tcPr>
          <w:p w14:paraId="23E224B3" w14:textId="77777777" w:rsidR="00E5577F" w:rsidRDefault="00E5577F" w:rsidP="002A067B">
            <w:pPr>
              <w:spacing w:line="276" w:lineRule="auto"/>
              <w:rPr>
                <w:rFonts w:ascii="Arial" w:hAnsi="Arial" w:cs="Arial"/>
                <w:b/>
                <w:sz w:val="28"/>
                <w:szCs w:val="28"/>
              </w:rPr>
            </w:pPr>
          </w:p>
        </w:tc>
        <w:tc>
          <w:tcPr>
            <w:tcW w:w="1041" w:type="dxa"/>
          </w:tcPr>
          <w:p w14:paraId="35A6B2B5" w14:textId="77777777" w:rsidR="00E5577F" w:rsidRDefault="00E5577F" w:rsidP="002A067B">
            <w:pPr>
              <w:spacing w:line="276" w:lineRule="auto"/>
              <w:rPr>
                <w:rFonts w:ascii="Arial" w:hAnsi="Arial" w:cs="Arial"/>
                <w:b/>
                <w:sz w:val="28"/>
                <w:szCs w:val="28"/>
              </w:rPr>
            </w:pPr>
          </w:p>
        </w:tc>
      </w:tr>
      <w:tr w:rsidR="00E5577F" w14:paraId="39651551" w14:textId="77777777" w:rsidTr="002A067B">
        <w:trPr>
          <w:trHeight w:val="432"/>
        </w:trPr>
        <w:tc>
          <w:tcPr>
            <w:tcW w:w="2122" w:type="dxa"/>
          </w:tcPr>
          <w:p w14:paraId="63CBB3D7" w14:textId="77777777" w:rsidR="00E5577F" w:rsidRDefault="00E5577F" w:rsidP="002A067B">
            <w:pPr>
              <w:spacing w:line="276" w:lineRule="auto"/>
              <w:rPr>
                <w:rFonts w:ascii="Arial" w:hAnsi="Arial" w:cs="Arial"/>
                <w:b/>
                <w:sz w:val="28"/>
                <w:szCs w:val="28"/>
              </w:rPr>
            </w:pPr>
          </w:p>
        </w:tc>
        <w:tc>
          <w:tcPr>
            <w:tcW w:w="992" w:type="dxa"/>
          </w:tcPr>
          <w:p w14:paraId="18BF399E" w14:textId="77777777" w:rsidR="00E5577F" w:rsidRDefault="00E5577F" w:rsidP="002A067B">
            <w:pPr>
              <w:spacing w:line="276" w:lineRule="auto"/>
              <w:rPr>
                <w:rFonts w:ascii="Arial" w:hAnsi="Arial" w:cs="Arial"/>
                <w:b/>
                <w:sz w:val="28"/>
                <w:szCs w:val="28"/>
              </w:rPr>
            </w:pPr>
          </w:p>
        </w:tc>
        <w:tc>
          <w:tcPr>
            <w:tcW w:w="992" w:type="dxa"/>
            <w:tcBorders>
              <w:right w:val="single" w:sz="4" w:space="0" w:color="auto"/>
            </w:tcBorders>
          </w:tcPr>
          <w:p w14:paraId="7B121532" w14:textId="77777777" w:rsidR="00E5577F" w:rsidRDefault="00E5577F" w:rsidP="002A067B">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7FC42535" w14:textId="77777777" w:rsidR="00E5577F" w:rsidRDefault="00E5577F" w:rsidP="002A067B">
            <w:pPr>
              <w:spacing w:line="276" w:lineRule="auto"/>
              <w:rPr>
                <w:rFonts w:ascii="Arial" w:hAnsi="Arial" w:cs="Arial"/>
                <w:b/>
                <w:sz w:val="28"/>
                <w:szCs w:val="28"/>
              </w:rPr>
            </w:pPr>
          </w:p>
        </w:tc>
        <w:tc>
          <w:tcPr>
            <w:tcW w:w="2268" w:type="dxa"/>
            <w:tcBorders>
              <w:left w:val="single" w:sz="4" w:space="0" w:color="auto"/>
            </w:tcBorders>
          </w:tcPr>
          <w:p w14:paraId="22D460CF" w14:textId="77777777" w:rsidR="00E5577F" w:rsidRDefault="00E5577F" w:rsidP="002A067B">
            <w:pPr>
              <w:spacing w:line="276" w:lineRule="auto"/>
              <w:rPr>
                <w:rFonts w:ascii="Arial" w:hAnsi="Arial" w:cs="Arial"/>
                <w:b/>
                <w:sz w:val="28"/>
                <w:szCs w:val="28"/>
              </w:rPr>
            </w:pPr>
          </w:p>
        </w:tc>
        <w:tc>
          <w:tcPr>
            <w:tcW w:w="1052" w:type="dxa"/>
          </w:tcPr>
          <w:p w14:paraId="4892B718" w14:textId="77777777" w:rsidR="00E5577F" w:rsidRDefault="00E5577F" w:rsidP="002A067B">
            <w:pPr>
              <w:spacing w:line="276" w:lineRule="auto"/>
              <w:rPr>
                <w:rFonts w:ascii="Arial" w:hAnsi="Arial" w:cs="Arial"/>
                <w:b/>
                <w:sz w:val="28"/>
                <w:szCs w:val="28"/>
              </w:rPr>
            </w:pPr>
          </w:p>
        </w:tc>
        <w:tc>
          <w:tcPr>
            <w:tcW w:w="1041" w:type="dxa"/>
          </w:tcPr>
          <w:p w14:paraId="3F870203" w14:textId="77777777" w:rsidR="00E5577F" w:rsidRDefault="00E5577F" w:rsidP="002A067B">
            <w:pPr>
              <w:spacing w:line="276" w:lineRule="auto"/>
              <w:rPr>
                <w:rFonts w:ascii="Arial" w:hAnsi="Arial" w:cs="Arial"/>
                <w:b/>
                <w:sz w:val="28"/>
                <w:szCs w:val="28"/>
              </w:rPr>
            </w:pPr>
          </w:p>
        </w:tc>
      </w:tr>
    </w:tbl>
    <w:p w14:paraId="14190C89" w14:textId="77777777" w:rsidR="007C5366" w:rsidRDefault="007C5366" w:rsidP="007C5366">
      <w:pPr>
        <w:spacing w:after="200" w:line="276" w:lineRule="auto"/>
        <w:rPr>
          <w:rFonts w:ascii="Arial" w:hAnsi="Arial" w:cs="Arial"/>
          <w:b/>
          <w:sz w:val="28"/>
          <w:szCs w:val="28"/>
        </w:rPr>
      </w:pPr>
    </w:p>
    <w:p w14:paraId="6ECD0ED7" w14:textId="6197F0DF" w:rsidR="003150FA" w:rsidRDefault="007C5366" w:rsidP="007C5366">
      <w:pPr>
        <w:spacing w:after="200" w:line="276" w:lineRule="auto"/>
        <w:rPr>
          <w:rFonts w:ascii="Arial" w:hAnsi="Arial" w:cs="Arial"/>
          <w:b/>
          <w:sz w:val="28"/>
          <w:szCs w:val="28"/>
        </w:rPr>
      </w:pPr>
      <w:r>
        <w:rPr>
          <w:rFonts w:ascii="Arial" w:hAnsi="Arial" w:cs="Arial"/>
          <w:b/>
          <w:sz w:val="28"/>
          <w:szCs w:val="28"/>
        </w:rPr>
        <w:t>Councillors</w:t>
      </w:r>
    </w:p>
    <w:tbl>
      <w:tblPr>
        <w:tblStyle w:val="TableGrid"/>
        <w:tblW w:w="9034" w:type="dxa"/>
        <w:tblLook w:val="04A0" w:firstRow="1" w:lastRow="0" w:firstColumn="1" w:lastColumn="0" w:noHBand="0" w:noVBand="1"/>
      </w:tblPr>
      <w:tblGrid>
        <w:gridCol w:w="2122"/>
        <w:gridCol w:w="992"/>
        <w:gridCol w:w="992"/>
        <w:gridCol w:w="567"/>
        <w:gridCol w:w="2268"/>
        <w:gridCol w:w="1052"/>
        <w:gridCol w:w="1041"/>
      </w:tblGrid>
      <w:tr w:rsidR="00E5577F" w14:paraId="719294FD" w14:textId="77777777" w:rsidTr="00E5577F">
        <w:trPr>
          <w:trHeight w:val="432"/>
        </w:trPr>
        <w:tc>
          <w:tcPr>
            <w:tcW w:w="2122" w:type="dxa"/>
          </w:tcPr>
          <w:p w14:paraId="6606F33D" w14:textId="768B5FCC" w:rsidR="0016306C" w:rsidRDefault="0016306C" w:rsidP="0016306C">
            <w:pPr>
              <w:spacing w:line="276" w:lineRule="auto"/>
              <w:rPr>
                <w:rFonts w:ascii="Arial" w:hAnsi="Arial" w:cs="Arial"/>
                <w:b/>
                <w:sz w:val="28"/>
                <w:szCs w:val="28"/>
              </w:rPr>
            </w:pPr>
            <w:r>
              <w:rPr>
                <w:rFonts w:ascii="Arial" w:hAnsi="Arial" w:cs="Arial"/>
                <w:b/>
                <w:sz w:val="28"/>
                <w:szCs w:val="28"/>
              </w:rPr>
              <w:t>Name</w:t>
            </w:r>
          </w:p>
        </w:tc>
        <w:tc>
          <w:tcPr>
            <w:tcW w:w="992" w:type="dxa"/>
          </w:tcPr>
          <w:p w14:paraId="33AE5795" w14:textId="5A5ACC70" w:rsidR="0016306C" w:rsidRDefault="0016306C" w:rsidP="0016306C">
            <w:pPr>
              <w:spacing w:line="276" w:lineRule="auto"/>
              <w:rPr>
                <w:rFonts w:ascii="Arial" w:hAnsi="Arial" w:cs="Arial"/>
                <w:b/>
                <w:sz w:val="28"/>
                <w:szCs w:val="28"/>
              </w:rPr>
            </w:pPr>
            <w:r>
              <w:rPr>
                <w:rFonts w:ascii="Arial" w:hAnsi="Arial" w:cs="Arial"/>
                <w:b/>
                <w:sz w:val="28"/>
                <w:szCs w:val="28"/>
              </w:rPr>
              <w:t>Initial</w:t>
            </w:r>
          </w:p>
        </w:tc>
        <w:tc>
          <w:tcPr>
            <w:tcW w:w="992" w:type="dxa"/>
            <w:tcBorders>
              <w:right w:val="single" w:sz="4" w:space="0" w:color="auto"/>
            </w:tcBorders>
          </w:tcPr>
          <w:p w14:paraId="1B309B6F" w14:textId="4AA815B4" w:rsidR="0016306C" w:rsidRDefault="0016306C" w:rsidP="0016306C">
            <w:pPr>
              <w:spacing w:line="276" w:lineRule="auto"/>
              <w:rPr>
                <w:rFonts w:ascii="Arial" w:hAnsi="Arial" w:cs="Arial"/>
                <w:b/>
                <w:sz w:val="28"/>
                <w:szCs w:val="28"/>
              </w:rPr>
            </w:pPr>
            <w:r>
              <w:rPr>
                <w:rFonts w:ascii="Arial" w:hAnsi="Arial" w:cs="Arial"/>
                <w:b/>
                <w:sz w:val="28"/>
                <w:szCs w:val="28"/>
              </w:rPr>
              <w:t>Date</w:t>
            </w:r>
          </w:p>
        </w:tc>
        <w:tc>
          <w:tcPr>
            <w:tcW w:w="567" w:type="dxa"/>
            <w:tcBorders>
              <w:top w:val="nil"/>
              <w:left w:val="single" w:sz="4" w:space="0" w:color="auto"/>
              <w:bottom w:val="nil"/>
              <w:right w:val="single" w:sz="4" w:space="0" w:color="auto"/>
            </w:tcBorders>
          </w:tcPr>
          <w:p w14:paraId="4262C299" w14:textId="501D9D83"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3A94F484" w14:textId="176A59E2" w:rsidR="0016306C" w:rsidRDefault="0016306C" w:rsidP="0016306C">
            <w:pPr>
              <w:spacing w:line="276" w:lineRule="auto"/>
              <w:rPr>
                <w:rFonts w:ascii="Arial" w:hAnsi="Arial" w:cs="Arial"/>
                <w:b/>
                <w:sz w:val="28"/>
                <w:szCs w:val="28"/>
              </w:rPr>
            </w:pPr>
            <w:r>
              <w:rPr>
                <w:rFonts w:ascii="Arial" w:hAnsi="Arial" w:cs="Arial"/>
                <w:b/>
                <w:sz w:val="28"/>
                <w:szCs w:val="28"/>
              </w:rPr>
              <w:t>Name</w:t>
            </w:r>
          </w:p>
        </w:tc>
        <w:tc>
          <w:tcPr>
            <w:tcW w:w="1052" w:type="dxa"/>
          </w:tcPr>
          <w:p w14:paraId="7F7537F2" w14:textId="33E463B8" w:rsidR="0016306C" w:rsidRDefault="00E5577F" w:rsidP="0016306C">
            <w:pPr>
              <w:spacing w:line="276" w:lineRule="auto"/>
              <w:rPr>
                <w:rFonts w:ascii="Arial" w:hAnsi="Arial" w:cs="Arial"/>
                <w:b/>
                <w:sz w:val="28"/>
                <w:szCs w:val="28"/>
              </w:rPr>
            </w:pPr>
            <w:r>
              <w:rPr>
                <w:rFonts w:ascii="Arial" w:hAnsi="Arial" w:cs="Arial"/>
                <w:b/>
                <w:sz w:val="28"/>
                <w:szCs w:val="28"/>
              </w:rPr>
              <w:t>Initial</w:t>
            </w:r>
          </w:p>
        </w:tc>
        <w:tc>
          <w:tcPr>
            <w:tcW w:w="1041" w:type="dxa"/>
          </w:tcPr>
          <w:p w14:paraId="4EF03E4B" w14:textId="77777777" w:rsidR="0016306C" w:rsidRDefault="0016306C" w:rsidP="0016306C">
            <w:pPr>
              <w:spacing w:line="276" w:lineRule="auto"/>
              <w:rPr>
                <w:rFonts w:ascii="Arial" w:hAnsi="Arial" w:cs="Arial"/>
                <w:b/>
                <w:sz w:val="28"/>
                <w:szCs w:val="28"/>
              </w:rPr>
            </w:pPr>
            <w:r>
              <w:rPr>
                <w:rFonts w:ascii="Arial" w:hAnsi="Arial" w:cs="Arial"/>
                <w:b/>
                <w:sz w:val="28"/>
                <w:szCs w:val="28"/>
              </w:rPr>
              <w:t>Date</w:t>
            </w:r>
          </w:p>
        </w:tc>
      </w:tr>
      <w:tr w:rsidR="00E5577F" w14:paraId="6171A0FE" w14:textId="77777777" w:rsidTr="00E5577F">
        <w:trPr>
          <w:trHeight w:val="432"/>
        </w:trPr>
        <w:tc>
          <w:tcPr>
            <w:tcW w:w="2122" w:type="dxa"/>
          </w:tcPr>
          <w:p w14:paraId="395BCDC9" w14:textId="77777777" w:rsidR="0016306C" w:rsidRDefault="0016306C" w:rsidP="0016306C">
            <w:pPr>
              <w:spacing w:line="276" w:lineRule="auto"/>
              <w:rPr>
                <w:rFonts w:ascii="Arial" w:hAnsi="Arial" w:cs="Arial"/>
                <w:b/>
                <w:sz w:val="28"/>
                <w:szCs w:val="28"/>
              </w:rPr>
            </w:pPr>
          </w:p>
        </w:tc>
        <w:tc>
          <w:tcPr>
            <w:tcW w:w="992" w:type="dxa"/>
          </w:tcPr>
          <w:p w14:paraId="11F27442"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45CD4970"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1D62D275" w14:textId="536E33FD"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134D35F6" w14:textId="65F31439" w:rsidR="0016306C" w:rsidRDefault="0016306C" w:rsidP="0016306C">
            <w:pPr>
              <w:spacing w:line="276" w:lineRule="auto"/>
              <w:rPr>
                <w:rFonts w:ascii="Arial" w:hAnsi="Arial" w:cs="Arial"/>
                <w:b/>
                <w:sz w:val="28"/>
                <w:szCs w:val="28"/>
              </w:rPr>
            </w:pPr>
          </w:p>
        </w:tc>
        <w:tc>
          <w:tcPr>
            <w:tcW w:w="1052" w:type="dxa"/>
          </w:tcPr>
          <w:p w14:paraId="141BE81A" w14:textId="77777777" w:rsidR="0016306C" w:rsidRDefault="0016306C" w:rsidP="0016306C">
            <w:pPr>
              <w:spacing w:line="276" w:lineRule="auto"/>
              <w:rPr>
                <w:rFonts w:ascii="Arial" w:hAnsi="Arial" w:cs="Arial"/>
                <w:b/>
                <w:sz w:val="28"/>
                <w:szCs w:val="28"/>
              </w:rPr>
            </w:pPr>
          </w:p>
        </w:tc>
        <w:tc>
          <w:tcPr>
            <w:tcW w:w="1041" w:type="dxa"/>
          </w:tcPr>
          <w:p w14:paraId="0DA3D6BC" w14:textId="77777777" w:rsidR="0016306C" w:rsidRDefault="0016306C" w:rsidP="0016306C">
            <w:pPr>
              <w:spacing w:line="276" w:lineRule="auto"/>
              <w:rPr>
                <w:rFonts w:ascii="Arial" w:hAnsi="Arial" w:cs="Arial"/>
                <w:b/>
                <w:sz w:val="28"/>
                <w:szCs w:val="28"/>
              </w:rPr>
            </w:pPr>
          </w:p>
        </w:tc>
      </w:tr>
      <w:tr w:rsidR="00E5577F" w14:paraId="1C944458" w14:textId="77777777" w:rsidTr="00E5577F">
        <w:trPr>
          <w:trHeight w:val="432"/>
        </w:trPr>
        <w:tc>
          <w:tcPr>
            <w:tcW w:w="2122" w:type="dxa"/>
          </w:tcPr>
          <w:p w14:paraId="52BD4AAF" w14:textId="77777777" w:rsidR="0016306C" w:rsidRDefault="0016306C" w:rsidP="0016306C">
            <w:pPr>
              <w:spacing w:line="276" w:lineRule="auto"/>
              <w:rPr>
                <w:rFonts w:ascii="Arial" w:hAnsi="Arial" w:cs="Arial"/>
                <w:b/>
                <w:sz w:val="28"/>
                <w:szCs w:val="28"/>
              </w:rPr>
            </w:pPr>
          </w:p>
        </w:tc>
        <w:tc>
          <w:tcPr>
            <w:tcW w:w="992" w:type="dxa"/>
          </w:tcPr>
          <w:p w14:paraId="42E6EBD3"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385F9443"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2FF1C5BC" w14:textId="00FB00EF"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2D54F437" w14:textId="70ADB31D" w:rsidR="0016306C" w:rsidRDefault="0016306C" w:rsidP="0016306C">
            <w:pPr>
              <w:spacing w:line="276" w:lineRule="auto"/>
              <w:rPr>
                <w:rFonts w:ascii="Arial" w:hAnsi="Arial" w:cs="Arial"/>
                <w:b/>
                <w:sz w:val="28"/>
                <w:szCs w:val="28"/>
              </w:rPr>
            </w:pPr>
          </w:p>
        </w:tc>
        <w:tc>
          <w:tcPr>
            <w:tcW w:w="1052" w:type="dxa"/>
          </w:tcPr>
          <w:p w14:paraId="2F29AA4A" w14:textId="77777777" w:rsidR="0016306C" w:rsidRDefault="0016306C" w:rsidP="0016306C">
            <w:pPr>
              <w:spacing w:line="276" w:lineRule="auto"/>
              <w:rPr>
                <w:rFonts w:ascii="Arial" w:hAnsi="Arial" w:cs="Arial"/>
                <w:b/>
                <w:sz w:val="28"/>
                <w:szCs w:val="28"/>
              </w:rPr>
            </w:pPr>
          </w:p>
        </w:tc>
        <w:tc>
          <w:tcPr>
            <w:tcW w:w="1041" w:type="dxa"/>
          </w:tcPr>
          <w:p w14:paraId="6C769739" w14:textId="77777777" w:rsidR="0016306C" w:rsidRDefault="0016306C" w:rsidP="0016306C">
            <w:pPr>
              <w:spacing w:line="276" w:lineRule="auto"/>
              <w:rPr>
                <w:rFonts w:ascii="Arial" w:hAnsi="Arial" w:cs="Arial"/>
                <w:b/>
                <w:sz w:val="28"/>
                <w:szCs w:val="28"/>
              </w:rPr>
            </w:pPr>
          </w:p>
        </w:tc>
      </w:tr>
      <w:tr w:rsidR="00E5577F" w14:paraId="0083EDBE" w14:textId="77777777" w:rsidTr="00E5577F">
        <w:trPr>
          <w:trHeight w:val="432"/>
        </w:trPr>
        <w:tc>
          <w:tcPr>
            <w:tcW w:w="2122" w:type="dxa"/>
          </w:tcPr>
          <w:p w14:paraId="6E518C1C" w14:textId="77777777" w:rsidR="0016306C" w:rsidRDefault="0016306C" w:rsidP="0016306C">
            <w:pPr>
              <w:spacing w:line="276" w:lineRule="auto"/>
              <w:rPr>
                <w:rFonts w:ascii="Arial" w:hAnsi="Arial" w:cs="Arial"/>
                <w:b/>
                <w:sz w:val="28"/>
                <w:szCs w:val="28"/>
              </w:rPr>
            </w:pPr>
          </w:p>
        </w:tc>
        <w:tc>
          <w:tcPr>
            <w:tcW w:w="992" w:type="dxa"/>
          </w:tcPr>
          <w:p w14:paraId="49790BD4"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6892C76D"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43C78F05" w14:textId="77148081"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4763414C" w14:textId="2D74A102" w:rsidR="0016306C" w:rsidRDefault="0016306C" w:rsidP="0016306C">
            <w:pPr>
              <w:spacing w:line="276" w:lineRule="auto"/>
              <w:rPr>
                <w:rFonts w:ascii="Arial" w:hAnsi="Arial" w:cs="Arial"/>
                <w:b/>
                <w:sz w:val="28"/>
                <w:szCs w:val="28"/>
              </w:rPr>
            </w:pPr>
          </w:p>
        </w:tc>
        <w:tc>
          <w:tcPr>
            <w:tcW w:w="1052" w:type="dxa"/>
          </w:tcPr>
          <w:p w14:paraId="45CCCD09" w14:textId="77777777" w:rsidR="0016306C" w:rsidRDefault="0016306C" w:rsidP="0016306C">
            <w:pPr>
              <w:spacing w:line="276" w:lineRule="auto"/>
              <w:rPr>
                <w:rFonts w:ascii="Arial" w:hAnsi="Arial" w:cs="Arial"/>
                <w:b/>
                <w:sz w:val="28"/>
                <w:szCs w:val="28"/>
              </w:rPr>
            </w:pPr>
          </w:p>
        </w:tc>
        <w:tc>
          <w:tcPr>
            <w:tcW w:w="1041" w:type="dxa"/>
          </w:tcPr>
          <w:p w14:paraId="5CE2B699" w14:textId="77777777" w:rsidR="0016306C" w:rsidRDefault="0016306C" w:rsidP="0016306C">
            <w:pPr>
              <w:spacing w:line="276" w:lineRule="auto"/>
              <w:rPr>
                <w:rFonts w:ascii="Arial" w:hAnsi="Arial" w:cs="Arial"/>
                <w:b/>
                <w:sz w:val="28"/>
                <w:szCs w:val="28"/>
              </w:rPr>
            </w:pPr>
          </w:p>
        </w:tc>
      </w:tr>
      <w:tr w:rsidR="00E5577F" w14:paraId="0AC18615" w14:textId="77777777" w:rsidTr="00E5577F">
        <w:trPr>
          <w:trHeight w:val="432"/>
        </w:trPr>
        <w:tc>
          <w:tcPr>
            <w:tcW w:w="2122" w:type="dxa"/>
          </w:tcPr>
          <w:p w14:paraId="5748B86E" w14:textId="77777777" w:rsidR="0016306C" w:rsidRDefault="0016306C" w:rsidP="0016306C">
            <w:pPr>
              <w:spacing w:line="276" w:lineRule="auto"/>
              <w:rPr>
                <w:rFonts w:ascii="Arial" w:hAnsi="Arial" w:cs="Arial"/>
                <w:b/>
                <w:sz w:val="28"/>
                <w:szCs w:val="28"/>
              </w:rPr>
            </w:pPr>
          </w:p>
        </w:tc>
        <w:tc>
          <w:tcPr>
            <w:tcW w:w="992" w:type="dxa"/>
          </w:tcPr>
          <w:p w14:paraId="1BD82D5A"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23814BA0"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4F50A3EB" w14:textId="168911EC"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02463E0C" w14:textId="6EE160BA" w:rsidR="0016306C" w:rsidRDefault="0016306C" w:rsidP="0016306C">
            <w:pPr>
              <w:spacing w:line="276" w:lineRule="auto"/>
              <w:rPr>
                <w:rFonts w:ascii="Arial" w:hAnsi="Arial" w:cs="Arial"/>
                <w:b/>
                <w:sz w:val="28"/>
                <w:szCs w:val="28"/>
              </w:rPr>
            </w:pPr>
          </w:p>
        </w:tc>
        <w:tc>
          <w:tcPr>
            <w:tcW w:w="1052" w:type="dxa"/>
          </w:tcPr>
          <w:p w14:paraId="5BC6F5F3" w14:textId="77777777" w:rsidR="0016306C" w:rsidRDefault="0016306C" w:rsidP="0016306C">
            <w:pPr>
              <w:spacing w:line="276" w:lineRule="auto"/>
              <w:rPr>
                <w:rFonts w:ascii="Arial" w:hAnsi="Arial" w:cs="Arial"/>
                <w:b/>
                <w:sz w:val="28"/>
                <w:szCs w:val="28"/>
              </w:rPr>
            </w:pPr>
          </w:p>
        </w:tc>
        <w:tc>
          <w:tcPr>
            <w:tcW w:w="1041" w:type="dxa"/>
          </w:tcPr>
          <w:p w14:paraId="7AD64FD5" w14:textId="77777777" w:rsidR="0016306C" w:rsidRDefault="0016306C" w:rsidP="0016306C">
            <w:pPr>
              <w:spacing w:line="276" w:lineRule="auto"/>
              <w:rPr>
                <w:rFonts w:ascii="Arial" w:hAnsi="Arial" w:cs="Arial"/>
                <w:b/>
                <w:sz w:val="28"/>
                <w:szCs w:val="28"/>
              </w:rPr>
            </w:pPr>
          </w:p>
        </w:tc>
      </w:tr>
      <w:tr w:rsidR="00E5577F" w14:paraId="423F28A5" w14:textId="77777777" w:rsidTr="00E5577F">
        <w:trPr>
          <w:trHeight w:val="432"/>
        </w:trPr>
        <w:tc>
          <w:tcPr>
            <w:tcW w:w="2122" w:type="dxa"/>
          </w:tcPr>
          <w:p w14:paraId="62115659" w14:textId="77777777" w:rsidR="0016306C" w:rsidRDefault="0016306C" w:rsidP="0016306C">
            <w:pPr>
              <w:spacing w:line="276" w:lineRule="auto"/>
              <w:rPr>
                <w:rFonts w:ascii="Arial" w:hAnsi="Arial" w:cs="Arial"/>
                <w:b/>
                <w:sz w:val="28"/>
                <w:szCs w:val="28"/>
              </w:rPr>
            </w:pPr>
          </w:p>
        </w:tc>
        <w:tc>
          <w:tcPr>
            <w:tcW w:w="992" w:type="dxa"/>
          </w:tcPr>
          <w:p w14:paraId="4E2A9056"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311669D6"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51F024AF" w14:textId="1D2BB6F4"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6CE19FAE" w14:textId="069A21DA" w:rsidR="0016306C" w:rsidRDefault="0016306C" w:rsidP="0016306C">
            <w:pPr>
              <w:spacing w:line="276" w:lineRule="auto"/>
              <w:rPr>
                <w:rFonts w:ascii="Arial" w:hAnsi="Arial" w:cs="Arial"/>
                <w:b/>
                <w:sz w:val="28"/>
                <w:szCs w:val="28"/>
              </w:rPr>
            </w:pPr>
          </w:p>
        </w:tc>
        <w:tc>
          <w:tcPr>
            <w:tcW w:w="1052" w:type="dxa"/>
          </w:tcPr>
          <w:p w14:paraId="26B7BA8B" w14:textId="77777777" w:rsidR="0016306C" w:rsidRDefault="0016306C" w:rsidP="0016306C">
            <w:pPr>
              <w:spacing w:line="276" w:lineRule="auto"/>
              <w:rPr>
                <w:rFonts w:ascii="Arial" w:hAnsi="Arial" w:cs="Arial"/>
                <w:b/>
                <w:sz w:val="28"/>
                <w:szCs w:val="28"/>
              </w:rPr>
            </w:pPr>
          </w:p>
        </w:tc>
        <w:tc>
          <w:tcPr>
            <w:tcW w:w="1041" w:type="dxa"/>
          </w:tcPr>
          <w:p w14:paraId="717C225C" w14:textId="77777777" w:rsidR="0016306C" w:rsidRDefault="0016306C" w:rsidP="0016306C">
            <w:pPr>
              <w:spacing w:line="276" w:lineRule="auto"/>
              <w:rPr>
                <w:rFonts w:ascii="Arial" w:hAnsi="Arial" w:cs="Arial"/>
                <w:b/>
                <w:sz w:val="28"/>
                <w:szCs w:val="28"/>
              </w:rPr>
            </w:pPr>
          </w:p>
        </w:tc>
      </w:tr>
      <w:tr w:rsidR="00E5577F" w14:paraId="50603BB0" w14:textId="77777777" w:rsidTr="00E5577F">
        <w:trPr>
          <w:trHeight w:val="432"/>
        </w:trPr>
        <w:tc>
          <w:tcPr>
            <w:tcW w:w="2122" w:type="dxa"/>
          </w:tcPr>
          <w:p w14:paraId="679B7113" w14:textId="77777777" w:rsidR="0016306C" w:rsidRDefault="0016306C" w:rsidP="0016306C">
            <w:pPr>
              <w:spacing w:line="276" w:lineRule="auto"/>
              <w:rPr>
                <w:rFonts w:ascii="Arial" w:hAnsi="Arial" w:cs="Arial"/>
                <w:b/>
                <w:sz w:val="28"/>
                <w:szCs w:val="28"/>
              </w:rPr>
            </w:pPr>
          </w:p>
        </w:tc>
        <w:tc>
          <w:tcPr>
            <w:tcW w:w="992" w:type="dxa"/>
          </w:tcPr>
          <w:p w14:paraId="514DD0F9"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028B2233"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3156CFF4" w14:textId="62B2DB12"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23E6C274" w14:textId="4D4B94E2" w:rsidR="0016306C" w:rsidRDefault="0016306C" w:rsidP="0016306C">
            <w:pPr>
              <w:spacing w:line="276" w:lineRule="auto"/>
              <w:rPr>
                <w:rFonts w:ascii="Arial" w:hAnsi="Arial" w:cs="Arial"/>
                <w:b/>
                <w:sz w:val="28"/>
                <w:szCs w:val="28"/>
              </w:rPr>
            </w:pPr>
          </w:p>
        </w:tc>
        <w:tc>
          <w:tcPr>
            <w:tcW w:w="1052" w:type="dxa"/>
          </w:tcPr>
          <w:p w14:paraId="66BEA199" w14:textId="77777777" w:rsidR="0016306C" w:rsidRDefault="0016306C" w:rsidP="0016306C">
            <w:pPr>
              <w:spacing w:line="276" w:lineRule="auto"/>
              <w:rPr>
                <w:rFonts w:ascii="Arial" w:hAnsi="Arial" w:cs="Arial"/>
                <w:b/>
                <w:sz w:val="28"/>
                <w:szCs w:val="28"/>
              </w:rPr>
            </w:pPr>
          </w:p>
        </w:tc>
        <w:tc>
          <w:tcPr>
            <w:tcW w:w="1041" w:type="dxa"/>
          </w:tcPr>
          <w:p w14:paraId="3A4A5308" w14:textId="77777777" w:rsidR="0016306C" w:rsidRDefault="0016306C" w:rsidP="0016306C">
            <w:pPr>
              <w:spacing w:line="276" w:lineRule="auto"/>
              <w:rPr>
                <w:rFonts w:ascii="Arial" w:hAnsi="Arial" w:cs="Arial"/>
                <w:b/>
                <w:sz w:val="28"/>
                <w:szCs w:val="28"/>
              </w:rPr>
            </w:pPr>
          </w:p>
        </w:tc>
      </w:tr>
      <w:tr w:rsidR="00E5577F" w14:paraId="33685712" w14:textId="77777777" w:rsidTr="00E5577F">
        <w:trPr>
          <w:trHeight w:val="432"/>
        </w:trPr>
        <w:tc>
          <w:tcPr>
            <w:tcW w:w="2122" w:type="dxa"/>
          </w:tcPr>
          <w:p w14:paraId="582A1C62" w14:textId="77777777" w:rsidR="0016306C" w:rsidRDefault="0016306C" w:rsidP="0016306C">
            <w:pPr>
              <w:spacing w:line="276" w:lineRule="auto"/>
              <w:rPr>
                <w:rFonts w:ascii="Arial" w:hAnsi="Arial" w:cs="Arial"/>
                <w:b/>
                <w:sz w:val="28"/>
                <w:szCs w:val="28"/>
              </w:rPr>
            </w:pPr>
          </w:p>
        </w:tc>
        <w:tc>
          <w:tcPr>
            <w:tcW w:w="992" w:type="dxa"/>
          </w:tcPr>
          <w:p w14:paraId="628FC553"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3F28B6C4"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4091E64E" w14:textId="595C25F3"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71A993E4" w14:textId="6434C9AF" w:rsidR="0016306C" w:rsidRDefault="0016306C" w:rsidP="0016306C">
            <w:pPr>
              <w:spacing w:line="276" w:lineRule="auto"/>
              <w:rPr>
                <w:rFonts w:ascii="Arial" w:hAnsi="Arial" w:cs="Arial"/>
                <w:b/>
                <w:sz w:val="28"/>
                <w:szCs w:val="28"/>
              </w:rPr>
            </w:pPr>
          </w:p>
        </w:tc>
        <w:tc>
          <w:tcPr>
            <w:tcW w:w="1052" w:type="dxa"/>
          </w:tcPr>
          <w:p w14:paraId="119B94A8" w14:textId="77777777" w:rsidR="0016306C" w:rsidRDefault="0016306C" w:rsidP="0016306C">
            <w:pPr>
              <w:spacing w:line="276" w:lineRule="auto"/>
              <w:rPr>
                <w:rFonts w:ascii="Arial" w:hAnsi="Arial" w:cs="Arial"/>
                <w:b/>
                <w:sz w:val="28"/>
                <w:szCs w:val="28"/>
              </w:rPr>
            </w:pPr>
          </w:p>
        </w:tc>
        <w:tc>
          <w:tcPr>
            <w:tcW w:w="1041" w:type="dxa"/>
          </w:tcPr>
          <w:p w14:paraId="18A2AA34" w14:textId="77777777" w:rsidR="0016306C" w:rsidRDefault="0016306C" w:rsidP="0016306C">
            <w:pPr>
              <w:spacing w:line="276" w:lineRule="auto"/>
              <w:rPr>
                <w:rFonts w:ascii="Arial" w:hAnsi="Arial" w:cs="Arial"/>
                <w:b/>
                <w:sz w:val="28"/>
                <w:szCs w:val="28"/>
              </w:rPr>
            </w:pPr>
          </w:p>
        </w:tc>
      </w:tr>
      <w:tr w:rsidR="00E5577F" w14:paraId="51EB02B0" w14:textId="77777777" w:rsidTr="00E5577F">
        <w:trPr>
          <w:trHeight w:val="432"/>
        </w:trPr>
        <w:tc>
          <w:tcPr>
            <w:tcW w:w="2122" w:type="dxa"/>
          </w:tcPr>
          <w:p w14:paraId="1E2352C9" w14:textId="77777777" w:rsidR="0016306C" w:rsidRDefault="0016306C" w:rsidP="0016306C">
            <w:pPr>
              <w:spacing w:line="276" w:lineRule="auto"/>
              <w:rPr>
                <w:rFonts w:ascii="Arial" w:hAnsi="Arial" w:cs="Arial"/>
                <w:b/>
                <w:sz w:val="28"/>
                <w:szCs w:val="28"/>
              </w:rPr>
            </w:pPr>
          </w:p>
        </w:tc>
        <w:tc>
          <w:tcPr>
            <w:tcW w:w="992" w:type="dxa"/>
          </w:tcPr>
          <w:p w14:paraId="4C2BB106"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2601C04F"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43332260" w14:textId="57C119A5"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6D75963E" w14:textId="657A412D" w:rsidR="0016306C" w:rsidRDefault="0016306C" w:rsidP="0016306C">
            <w:pPr>
              <w:spacing w:line="276" w:lineRule="auto"/>
              <w:rPr>
                <w:rFonts w:ascii="Arial" w:hAnsi="Arial" w:cs="Arial"/>
                <w:b/>
                <w:sz w:val="28"/>
                <w:szCs w:val="28"/>
              </w:rPr>
            </w:pPr>
          </w:p>
        </w:tc>
        <w:tc>
          <w:tcPr>
            <w:tcW w:w="1052" w:type="dxa"/>
          </w:tcPr>
          <w:p w14:paraId="5311C4AE" w14:textId="77777777" w:rsidR="0016306C" w:rsidRDefault="0016306C" w:rsidP="0016306C">
            <w:pPr>
              <w:spacing w:line="276" w:lineRule="auto"/>
              <w:rPr>
                <w:rFonts w:ascii="Arial" w:hAnsi="Arial" w:cs="Arial"/>
                <w:b/>
                <w:sz w:val="28"/>
                <w:szCs w:val="28"/>
              </w:rPr>
            </w:pPr>
          </w:p>
        </w:tc>
        <w:tc>
          <w:tcPr>
            <w:tcW w:w="1041" w:type="dxa"/>
          </w:tcPr>
          <w:p w14:paraId="6BB3204C" w14:textId="77777777" w:rsidR="0016306C" w:rsidRDefault="0016306C" w:rsidP="0016306C">
            <w:pPr>
              <w:spacing w:line="276" w:lineRule="auto"/>
              <w:rPr>
                <w:rFonts w:ascii="Arial" w:hAnsi="Arial" w:cs="Arial"/>
                <w:b/>
                <w:sz w:val="28"/>
                <w:szCs w:val="28"/>
              </w:rPr>
            </w:pPr>
          </w:p>
        </w:tc>
      </w:tr>
      <w:tr w:rsidR="00E5577F" w14:paraId="6A798BC5" w14:textId="77777777" w:rsidTr="00E5577F">
        <w:trPr>
          <w:trHeight w:val="432"/>
        </w:trPr>
        <w:tc>
          <w:tcPr>
            <w:tcW w:w="2122" w:type="dxa"/>
          </w:tcPr>
          <w:p w14:paraId="036EB6F3" w14:textId="77777777" w:rsidR="0016306C" w:rsidRDefault="0016306C" w:rsidP="0016306C">
            <w:pPr>
              <w:spacing w:line="276" w:lineRule="auto"/>
              <w:rPr>
                <w:rFonts w:ascii="Arial" w:hAnsi="Arial" w:cs="Arial"/>
                <w:b/>
                <w:sz w:val="28"/>
                <w:szCs w:val="28"/>
              </w:rPr>
            </w:pPr>
          </w:p>
        </w:tc>
        <w:tc>
          <w:tcPr>
            <w:tcW w:w="992" w:type="dxa"/>
          </w:tcPr>
          <w:p w14:paraId="496D2AF8"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30DFBBFF"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7C1649C0" w14:textId="6884272C"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0E4E7CFB" w14:textId="2B6CAE7D" w:rsidR="0016306C" w:rsidRDefault="0016306C" w:rsidP="0016306C">
            <w:pPr>
              <w:spacing w:line="276" w:lineRule="auto"/>
              <w:rPr>
                <w:rFonts w:ascii="Arial" w:hAnsi="Arial" w:cs="Arial"/>
                <w:b/>
                <w:sz w:val="28"/>
                <w:szCs w:val="28"/>
              </w:rPr>
            </w:pPr>
          </w:p>
        </w:tc>
        <w:tc>
          <w:tcPr>
            <w:tcW w:w="1052" w:type="dxa"/>
          </w:tcPr>
          <w:p w14:paraId="741D50F8" w14:textId="77777777" w:rsidR="0016306C" w:rsidRDefault="0016306C" w:rsidP="0016306C">
            <w:pPr>
              <w:spacing w:line="276" w:lineRule="auto"/>
              <w:rPr>
                <w:rFonts w:ascii="Arial" w:hAnsi="Arial" w:cs="Arial"/>
                <w:b/>
                <w:sz w:val="28"/>
                <w:szCs w:val="28"/>
              </w:rPr>
            </w:pPr>
          </w:p>
        </w:tc>
        <w:tc>
          <w:tcPr>
            <w:tcW w:w="1041" w:type="dxa"/>
          </w:tcPr>
          <w:p w14:paraId="23B8253E" w14:textId="77777777" w:rsidR="0016306C" w:rsidRDefault="0016306C" w:rsidP="0016306C">
            <w:pPr>
              <w:spacing w:line="276" w:lineRule="auto"/>
              <w:rPr>
                <w:rFonts w:ascii="Arial" w:hAnsi="Arial" w:cs="Arial"/>
                <w:b/>
                <w:sz w:val="28"/>
                <w:szCs w:val="28"/>
              </w:rPr>
            </w:pPr>
          </w:p>
        </w:tc>
      </w:tr>
      <w:tr w:rsidR="00E5577F" w14:paraId="26AAAAE1" w14:textId="77777777" w:rsidTr="00E5577F">
        <w:trPr>
          <w:trHeight w:val="432"/>
        </w:trPr>
        <w:tc>
          <w:tcPr>
            <w:tcW w:w="2122" w:type="dxa"/>
          </w:tcPr>
          <w:p w14:paraId="425AC166" w14:textId="77777777" w:rsidR="0016306C" w:rsidRDefault="0016306C" w:rsidP="0016306C">
            <w:pPr>
              <w:spacing w:line="276" w:lineRule="auto"/>
              <w:rPr>
                <w:rFonts w:ascii="Arial" w:hAnsi="Arial" w:cs="Arial"/>
                <w:b/>
                <w:sz w:val="28"/>
                <w:szCs w:val="28"/>
              </w:rPr>
            </w:pPr>
          </w:p>
        </w:tc>
        <w:tc>
          <w:tcPr>
            <w:tcW w:w="992" w:type="dxa"/>
          </w:tcPr>
          <w:p w14:paraId="2EBA4597" w14:textId="77777777" w:rsidR="0016306C" w:rsidRDefault="0016306C" w:rsidP="0016306C">
            <w:pPr>
              <w:spacing w:line="276" w:lineRule="auto"/>
              <w:rPr>
                <w:rFonts w:ascii="Arial" w:hAnsi="Arial" w:cs="Arial"/>
                <w:b/>
                <w:sz w:val="28"/>
                <w:szCs w:val="28"/>
              </w:rPr>
            </w:pPr>
          </w:p>
        </w:tc>
        <w:tc>
          <w:tcPr>
            <w:tcW w:w="992" w:type="dxa"/>
            <w:tcBorders>
              <w:right w:val="single" w:sz="4" w:space="0" w:color="auto"/>
            </w:tcBorders>
          </w:tcPr>
          <w:p w14:paraId="103A3577" w14:textId="77777777" w:rsidR="0016306C" w:rsidRDefault="0016306C"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3B0C7C09" w14:textId="7EFB7812" w:rsidR="0016306C" w:rsidRDefault="0016306C" w:rsidP="0016306C">
            <w:pPr>
              <w:spacing w:line="276" w:lineRule="auto"/>
              <w:rPr>
                <w:rFonts w:ascii="Arial" w:hAnsi="Arial" w:cs="Arial"/>
                <w:b/>
                <w:sz w:val="28"/>
                <w:szCs w:val="28"/>
              </w:rPr>
            </w:pPr>
          </w:p>
        </w:tc>
        <w:tc>
          <w:tcPr>
            <w:tcW w:w="2268" w:type="dxa"/>
            <w:tcBorders>
              <w:left w:val="single" w:sz="4" w:space="0" w:color="auto"/>
            </w:tcBorders>
          </w:tcPr>
          <w:p w14:paraId="3A63FB65" w14:textId="29732B8E" w:rsidR="0016306C" w:rsidRDefault="0016306C" w:rsidP="0016306C">
            <w:pPr>
              <w:spacing w:line="276" w:lineRule="auto"/>
              <w:rPr>
                <w:rFonts w:ascii="Arial" w:hAnsi="Arial" w:cs="Arial"/>
                <w:b/>
                <w:sz w:val="28"/>
                <w:szCs w:val="28"/>
              </w:rPr>
            </w:pPr>
          </w:p>
        </w:tc>
        <w:tc>
          <w:tcPr>
            <w:tcW w:w="1052" w:type="dxa"/>
          </w:tcPr>
          <w:p w14:paraId="28B01414" w14:textId="77777777" w:rsidR="0016306C" w:rsidRDefault="0016306C" w:rsidP="0016306C">
            <w:pPr>
              <w:spacing w:line="276" w:lineRule="auto"/>
              <w:rPr>
                <w:rFonts w:ascii="Arial" w:hAnsi="Arial" w:cs="Arial"/>
                <w:b/>
                <w:sz w:val="28"/>
                <w:szCs w:val="28"/>
              </w:rPr>
            </w:pPr>
          </w:p>
        </w:tc>
        <w:tc>
          <w:tcPr>
            <w:tcW w:w="1041" w:type="dxa"/>
          </w:tcPr>
          <w:p w14:paraId="05FF1A90" w14:textId="77777777" w:rsidR="0016306C" w:rsidRDefault="0016306C" w:rsidP="0016306C">
            <w:pPr>
              <w:spacing w:line="276" w:lineRule="auto"/>
              <w:rPr>
                <w:rFonts w:ascii="Arial" w:hAnsi="Arial" w:cs="Arial"/>
                <w:b/>
                <w:sz w:val="28"/>
                <w:szCs w:val="28"/>
              </w:rPr>
            </w:pPr>
          </w:p>
        </w:tc>
      </w:tr>
      <w:tr w:rsidR="00AF2511" w14:paraId="52B4C28C" w14:textId="77777777" w:rsidTr="00E5577F">
        <w:trPr>
          <w:trHeight w:val="432"/>
        </w:trPr>
        <w:tc>
          <w:tcPr>
            <w:tcW w:w="2122" w:type="dxa"/>
          </w:tcPr>
          <w:p w14:paraId="20DAE8BC" w14:textId="77777777" w:rsidR="00AF2511" w:rsidRDefault="00AF2511" w:rsidP="0016306C">
            <w:pPr>
              <w:spacing w:line="276" w:lineRule="auto"/>
              <w:rPr>
                <w:rFonts w:ascii="Arial" w:hAnsi="Arial" w:cs="Arial"/>
                <w:b/>
                <w:sz w:val="28"/>
                <w:szCs w:val="28"/>
              </w:rPr>
            </w:pPr>
          </w:p>
        </w:tc>
        <w:tc>
          <w:tcPr>
            <w:tcW w:w="992" w:type="dxa"/>
          </w:tcPr>
          <w:p w14:paraId="091F3377" w14:textId="77777777" w:rsidR="00AF2511" w:rsidRDefault="00AF2511" w:rsidP="0016306C">
            <w:pPr>
              <w:spacing w:line="276" w:lineRule="auto"/>
              <w:rPr>
                <w:rFonts w:ascii="Arial" w:hAnsi="Arial" w:cs="Arial"/>
                <w:b/>
                <w:sz w:val="28"/>
                <w:szCs w:val="28"/>
              </w:rPr>
            </w:pPr>
          </w:p>
        </w:tc>
        <w:tc>
          <w:tcPr>
            <w:tcW w:w="992" w:type="dxa"/>
            <w:tcBorders>
              <w:right w:val="single" w:sz="4" w:space="0" w:color="auto"/>
            </w:tcBorders>
          </w:tcPr>
          <w:p w14:paraId="0D06146E" w14:textId="77777777" w:rsidR="00AF2511" w:rsidRDefault="00AF2511"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3D4A7C47" w14:textId="77777777" w:rsidR="00AF2511" w:rsidRDefault="00AF2511" w:rsidP="0016306C">
            <w:pPr>
              <w:spacing w:line="276" w:lineRule="auto"/>
              <w:rPr>
                <w:rFonts w:ascii="Arial" w:hAnsi="Arial" w:cs="Arial"/>
                <w:b/>
                <w:sz w:val="28"/>
                <w:szCs w:val="28"/>
              </w:rPr>
            </w:pPr>
          </w:p>
        </w:tc>
        <w:tc>
          <w:tcPr>
            <w:tcW w:w="2268" w:type="dxa"/>
            <w:tcBorders>
              <w:left w:val="single" w:sz="4" w:space="0" w:color="auto"/>
            </w:tcBorders>
          </w:tcPr>
          <w:p w14:paraId="6D8E9219" w14:textId="77777777" w:rsidR="00AF2511" w:rsidRDefault="00AF2511" w:rsidP="0016306C">
            <w:pPr>
              <w:spacing w:line="276" w:lineRule="auto"/>
              <w:rPr>
                <w:rFonts w:ascii="Arial" w:hAnsi="Arial" w:cs="Arial"/>
                <w:b/>
                <w:sz w:val="28"/>
                <w:szCs w:val="28"/>
              </w:rPr>
            </w:pPr>
          </w:p>
        </w:tc>
        <w:tc>
          <w:tcPr>
            <w:tcW w:w="1052" w:type="dxa"/>
          </w:tcPr>
          <w:p w14:paraId="1187AEEA" w14:textId="77777777" w:rsidR="00AF2511" w:rsidRDefault="00AF2511" w:rsidP="0016306C">
            <w:pPr>
              <w:spacing w:line="276" w:lineRule="auto"/>
              <w:rPr>
                <w:rFonts w:ascii="Arial" w:hAnsi="Arial" w:cs="Arial"/>
                <w:b/>
                <w:sz w:val="28"/>
                <w:szCs w:val="28"/>
              </w:rPr>
            </w:pPr>
          </w:p>
        </w:tc>
        <w:tc>
          <w:tcPr>
            <w:tcW w:w="1041" w:type="dxa"/>
          </w:tcPr>
          <w:p w14:paraId="1D4DF4CB" w14:textId="77777777" w:rsidR="00AF2511" w:rsidRDefault="00AF2511" w:rsidP="0016306C">
            <w:pPr>
              <w:spacing w:line="276" w:lineRule="auto"/>
              <w:rPr>
                <w:rFonts w:ascii="Arial" w:hAnsi="Arial" w:cs="Arial"/>
                <w:b/>
                <w:sz w:val="28"/>
                <w:szCs w:val="28"/>
              </w:rPr>
            </w:pPr>
          </w:p>
        </w:tc>
      </w:tr>
      <w:tr w:rsidR="00AF2511" w14:paraId="722DCC3F" w14:textId="77777777" w:rsidTr="00E5577F">
        <w:trPr>
          <w:trHeight w:val="432"/>
        </w:trPr>
        <w:tc>
          <w:tcPr>
            <w:tcW w:w="2122" w:type="dxa"/>
          </w:tcPr>
          <w:p w14:paraId="62B65B4E" w14:textId="77777777" w:rsidR="00AF2511" w:rsidRDefault="00AF2511" w:rsidP="0016306C">
            <w:pPr>
              <w:spacing w:line="276" w:lineRule="auto"/>
              <w:rPr>
                <w:rFonts w:ascii="Arial" w:hAnsi="Arial" w:cs="Arial"/>
                <w:b/>
                <w:sz w:val="28"/>
                <w:szCs w:val="28"/>
              </w:rPr>
            </w:pPr>
          </w:p>
        </w:tc>
        <w:tc>
          <w:tcPr>
            <w:tcW w:w="992" w:type="dxa"/>
          </w:tcPr>
          <w:p w14:paraId="08D99881" w14:textId="77777777" w:rsidR="00AF2511" w:rsidRDefault="00AF2511" w:rsidP="0016306C">
            <w:pPr>
              <w:spacing w:line="276" w:lineRule="auto"/>
              <w:rPr>
                <w:rFonts w:ascii="Arial" w:hAnsi="Arial" w:cs="Arial"/>
                <w:b/>
                <w:sz w:val="28"/>
                <w:szCs w:val="28"/>
              </w:rPr>
            </w:pPr>
          </w:p>
        </w:tc>
        <w:tc>
          <w:tcPr>
            <w:tcW w:w="992" w:type="dxa"/>
            <w:tcBorders>
              <w:right w:val="single" w:sz="4" w:space="0" w:color="auto"/>
            </w:tcBorders>
          </w:tcPr>
          <w:p w14:paraId="1EBC4630" w14:textId="77777777" w:rsidR="00AF2511" w:rsidRDefault="00AF2511" w:rsidP="0016306C">
            <w:pPr>
              <w:spacing w:line="276" w:lineRule="auto"/>
              <w:rPr>
                <w:rFonts w:ascii="Arial" w:hAnsi="Arial" w:cs="Arial"/>
                <w:b/>
                <w:sz w:val="28"/>
                <w:szCs w:val="28"/>
              </w:rPr>
            </w:pPr>
          </w:p>
        </w:tc>
        <w:tc>
          <w:tcPr>
            <w:tcW w:w="567" w:type="dxa"/>
            <w:tcBorders>
              <w:top w:val="nil"/>
              <w:left w:val="single" w:sz="4" w:space="0" w:color="auto"/>
              <w:bottom w:val="nil"/>
              <w:right w:val="single" w:sz="4" w:space="0" w:color="auto"/>
            </w:tcBorders>
          </w:tcPr>
          <w:p w14:paraId="37DD5131" w14:textId="77777777" w:rsidR="00AF2511" w:rsidRDefault="00AF2511" w:rsidP="0016306C">
            <w:pPr>
              <w:spacing w:line="276" w:lineRule="auto"/>
              <w:rPr>
                <w:rFonts w:ascii="Arial" w:hAnsi="Arial" w:cs="Arial"/>
                <w:b/>
                <w:sz w:val="28"/>
                <w:szCs w:val="28"/>
              </w:rPr>
            </w:pPr>
          </w:p>
        </w:tc>
        <w:tc>
          <w:tcPr>
            <w:tcW w:w="2268" w:type="dxa"/>
            <w:tcBorders>
              <w:left w:val="single" w:sz="4" w:space="0" w:color="auto"/>
            </w:tcBorders>
          </w:tcPr>
          <w:p w14:paraId="40808FA8" w14:textId="77777777" w:rsidR="00AF2511" w:rsidRDefault="00AF2511" w:rsidP="0016306C">
            <w:pPr>
              <w:spacing w:line="276" w:lineRule="auto"/>
              <w:rPr>
                <w:rFonts w:ascii="Arial" w:hAnsi="Arial" w:cs="Arial"/>
                <w:b/>
                <w:sz w:val="28"/>
                <w:szCs w:val="28"/>
              </w:rPr>
            </w:pPr>
          </w:p>
        </w:tc>
        <w:tc>
          <w:tcPr>
            <w:tcW w:w="1052" w:type="dxa"/>
          </w:tcPr>
          <w:p w14:paraId="1F13E51E" w14:textId="77777777" w:rsidR="00AF2511" w:rsidRDefault="00AF2511" w:rsidP="0016306C">
            <w:pPr>
              <w:spacing w:line="276" w:lineRule="auto"/>
              <w:rPr>
                <w:rFonts w:ascii="Arial" w:hAnsi="Arial" w:cs="Arial"/>
                <w:b/>
                <w:sz w:val="28"/>
                <w:szCs w:val="28"/>
              </w:rPr>
            </w:pPr>
          </w:p>
        </w:tc>
        <w:tc>
          <w:tcPr>
            <w:tcW w:w="1041" w:type="dxa"/>
          </w:tcPr>
          <w:p w14:paraId="59497581" w14:textId="77777777" w:rsidR="00AF2511" w:rsidRDefault="00AF2511" w:rsidP="0016306C">
            <w:pPr>
              <w:spacing w:line="276" w:lineRule="auto"/>
              <w:rPr>
                <w:rFonts w:ascii="Arial" w:hAnsi="Arial" w:cs="Arial"/>
                <w:b/>
                <w:sz w:val="28"/>
                <w:szCs w:val="28"/>
              </w:rPr>
            </w:pPr>
          </w:p>
        </w:tc>
      </w:tr>
    </w:tbl>
    <w:p w14:paraId="378C69FA" w14:textId="77777777" w:rsidR="007C5366" w:rsidRDefault="007C5366" w:rsidP="007C5366">
      <w:pPr>
        <w:spacing w:after="200" w:line="276" w:lineRule="auto"/>
        <w:rPr>
          <w:rFonts w:ascii="Arial" w:hAnsi="Arial" w:cs="Arial"/>
          <w:b/>
          <w:sz w:val="28"/>
          <w:szCs w:val="28"/>
        </w:rPr>
      </w:pPr>
    </w:p>
    <w:tbl>
      <w:tblPr>
        <w:tblStyle w:val="TableGrid"/>
        <w:tblW w:w="9004" w:type="dxa"/>
        <w:tblLook w:val="04A0" w:firstRow="1" w:lastRow="0" w:firstColumn="1" w:lastColumn="0" w:noHBand="0" w:noVBand="1"/>
      </w:tblPr>
      <w:tblGrid>
        <w:gridCol w:w="2251"/>
        <w:gridCol w:w="2251"/>
        <w:gridCol w:w="2251"/>
        <w:gridCol w:w="2251"/>
      </w:tblGrid>
      <w:tr w:rsidR="005C55CE" w:rsidRPr="00525144" w14:paraId="6CC78362" w14:textId="77777777" w:rsidTr="00E57671">
        <w:trPr>
          <w:trHeight w:val="1123"/>
        </w:trPr>
        <w:tc>
          <w:tcPr>
            <w:tcW w:w="2251" w:type="dxa"/>
          </w:tcPr>
          <w:p w14:paraId="002CFDDE" w14:textId="77777777" w:rsidR="005C55CE" w:rsidRPr="00525144" w:rsidRDefault="005C55CE" w:rsidP="00E57671">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created</w:t>
            </w:r>
          </w:p>
          <w:p w14:paraId="5913D4D6" w14:textId="77777777" w:rsidR="005C55CE" w:rsidRPr="00525144" w:rsidRDefault="005C55CE" w:rsidP="00E57671">
            <w:pPr>
              <w:pStyle w:val="NormalWeb"/>
              <w:spacing w:before="0" w:beforeAutospacing="0" w:after="0" w:afterAutospacing="0"/>
              <w:ind w:left="567"/>
              <w:jc w:val="center"/>
              <w:outlineLvl w:val="0"/>
              <w:rPr>
                <w:rFonts w:ascii="Arial" w:hAnsi="Arial" w:cs="Arial"/>
                <w:b/>
                <w:sz w:val="22"/>
                <w:szCs w:val="22"/>
                <w:lang w:eastAsia="en-US"/>
              </w:rPr>
            </w:pPr>
          </w:p>
          <w:p w14:paraId="68D8EF81" w14:textId="289E8EFD" w:rsidR="005C55CE" w:rsidRPr="00525144" w:rsidRDefault="001A17A4" w:rsidP="00E57671">
            <w:pPr>
              <w:pStyle w:val="NormalWeb"/>
              <w:spacing w:before="0" w:beforeAutospacing="0" w:after="0" w:afterAutospacing="0"/>
              <w:jc w:val="center"/>
              <w:outlineLvl w:val="0"/>
              <w:rPr>
                <w:rFonts w:ascii="Arial" w:hAnsi="Arial" w:cs="Arial"/>
                <w:sz w:val="22"/>
                <w:szCs w:val="22"/>
                <w:lang w:eastAsia="en-US"/>
              </w:rPr>
            </w:pPr>
            <w:r>
              <w:rPr>
                <w:rFonts w:ascii="Arial" w:hAnsi="Arial" w:cs="Arial"/>
                <w:sz w:val="22"/>
                <w:szCs w:val="22"/>
                <w:lang w:eastAsia="en-US"/>
              </w:rPr>
              <w:t>17</w:t>
            </w:r>
            <w:r w:rsidRPr="001A17A4">
              <w:rPr>
                <w:rFonts w:ascii="Arial" w:hAnsi="Arial" w:cs="Arial"/>
                <w:sz w:val="22"/>
                <w:szCs w:val="22"/>
                <w:vertAlign w:val="superscript"/>
                <w:lang w:eastAsia="en-US"/>
              </w:rPr>
              <w:t>th</w:t>
            </w:r>
            <w:r>
              <w:rPr>
                <w:rFonts w:ascii="Arial" w:hAnsi="Arial" w:cs="Arial"/>
                <w:sz w:val="22"/>
                <w:szCs w:val="22"/>
                <w:lang w:eastAsia="en-US"/>
              </w:rPr>
              <w:t xml:space="preserve"> April 2025</w:t>
            </w:r>
          </w:p>
        </w:tc>
        <w:tc>
          <w:tcPr>
            <w:tcW w:w="2251" w:type="dxa"/>
          </w:tcPr>
          <w:p w14:paraId="65692750" w14:textId="77777777" w:rsidR="005C55CE" w:rsidRPr="00525144" w:rsidRDefault="005C55CE" w:rsidP="00E57671">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adopted</w:t>
            </w:r>
          </w:p>
          <w:p w14:paraId="68B24582" w14:textId="77777777" w:rsidR="003E6F55" w:rsidRPr="001A17A4" w:rsidRDefault="003E6F55" w:rsidP="001A17A4">
            <w:pPr>
              <w:pStyle w:val="NormalWeb"/>
              <w:spacing w:before="0" w:beforeAutospacing="0" w:after="0" w:afterAutospacing="0"/>
              <w:jc w:val="center"/>
              <w:outlineLvl w:val="0"/>
              <w:rPr>
                <w:rFonts w:ascii="Arial" w:hAnsi="Arial" w:cs="Arial"/>
                <w:b/>
                <w:sz w:val="22"/>
                <w:szCs w:val="22"/>
                <w:lang w:eastAsia="en-US"/>
              </w:rPr>
            </w:pPr>
          </w:p>
          <w:p w14:paraId="0E162725" w14:textId="015A5521" w:rsidR="001A17A4" w:rsidRPr="002D01A2" w:rsidRDefault="002D01A2" w:rsidP="001A17A4">
            <w:pPr>
              <w:spacing w:after="200" w:line="276" w:lineRule="auto"/>
              <w:jc w:val="center"/>
              <w:rPr>
                <w:rFonts w:ascii="Arial" w:hAnsi="Arial" w:cs="Arial"/>
                <w:bCs/>
              </w:rPr>
            </w:pPr>
            <w:r w:rsidRPr="002D01A2">
              <w:rPr>
                <w:rFonts w:ascii="Arial" w:hAnsi="Arial" w:cs="Arial"/>
                <w:bCs/>
              </w:rPr>
              <w:t>23</w:t>
            </w:r>
            <w:r w:rsidRPr="002D01A2">
              <w:rPr>
                <w:rFonts w:ascii="Arial" w:hAnsi="Arial" w:cs="Arial"/>
                <w:bCs/>
                <w:vertAlign w:val="superscript"/>
              </w:rPr>
              <w:t>rd</w:t>
            </w:r>
            <w:r w:rsidRPr="002D01A2">
              <w:rPr>
                <w:rFonts w:ascii="Arial" w:hAnsi="Arial" w:cs="Arial"/>
                <w:bCs/>
              </w:rPr>
              <w:t xml:space="preserve"> April 2025</w:t>
            </w:r>
          </w:p>
        </w:tc>
        <w:tc>
          <w:tcPr>
            <w:tcW w:w="2251" w:type="dxa"/>
          </w:tcPr>
          <w:p w14:paraId="02E86C52" w14:textId="77777777" w:rsidR="005C55CE" w:rsidRPr="00525144" w:rsidRDefault="005C55CE" w:rsidP="00E57671">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Date last reviewed</w:t>
            </w:r>
          </w:p>
          <w:p w14:paraId="299029E8" w14:textId="77777777" w:rsidR="005C55CE" w:rsidRPr="00525144" w:rsidRDefault="005C55CE" w:rsidP="00E57671">
            <w:pPr>
              <w:pStyle w:val="NormalWeb"/>
              <w:spacing w:before="0" w:beforeAutospacing="0" w:after="0" w:afterAutospacing="0"/>
              <w:ind w:left="567"/>
              <w:jc w:val="center"/>
              <w:outlineLvl w:val="0"/>
              <w:rPr>
                <w:rFonts w:ascii="Arial" w:hAnsi="Arial" w:cs="Arial"/>
                <w:b/>
                <w:sz w:val="22"/>
                <w:szCs w:val="22"/>
                <w:lang w:eastAsia="en-US"/>
              </w:rPr>
            </w:pPr>
          </w:p>
          <w:p w14:paraId="1AA471E4" w14:textId="0E4D09A7" w:rsidR="005C55CE" w:rsidRPr="00525144" w:rsidRDefault="002D01A2" w:rsidP="00E57671">
            <w:pPr>
              <w:pStyle w:val="NormalWeb"/>
              <w:spacing w:before="0" w:beforeAutospacing="0" w:after="0" w:afterAutospacing="0"/>
              <w:jc w:val="center"/>
              <w:outlineLvl w:val="0"/>
              <w:rPr>
                <w:rFonts w:ascii="Arial" w:hAnsi="Arial" w:cs="Arial"/>
                <w:b/>
              </w:rPr>
            </w:pPr>
            <w:r w:rsidRPr="002D01A2">
              <w:rPr>
                <w:rFonts w:ascii="Arial" w:hAnsi="Arial" w:cs="Arial"/>
                <w:bCs/>
              </w:rPr>
              <w:t>23</w:t>
            </w:r>
            <w:r w:rsidRPr="002D01A2">
              <w:rPr>
                <w:rFonts w:ascii="Arial" w:hAnsi="Arial" w:cs="Arial"/>
                <w:bCs/>
                <w:vertAlign w:val="superscript"/>
              </w:rPr>
              <w:t>rd</w:t>
            </w:r>
            <w:r w:rsidRPr="002D01A2">
              <w:rPr>
                <w:rFonts w:ascii="Arial" w:hAnsi="Arial" w:cs="Arial"/>
                <w:bCs/>
              </w:rPr>
              <w:t xml:space="preserve"> April 2025</w:t>
            </w:r>
          </w:p>
        </w:tc>
        <w:tc>
          <w:tcPr>
            <w:tcW w:w="2251" w:type="dxa"/>
          </w:tcPr>
          <w:p w14:paraId="31B202AF" w14:textId="77777777" w:rsidR="005C55CE" w:rsidRPr="00525144" w:rsidRDefault="005C55CE" w:rsidP="00E57671">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Next review date</w:t>
            </w:r>
          </w:p>
          <w:p w14:paraId="151DB8A9" w14:textId="77777777" w:rsidR="005C55CE" w:rsidRPr="00525144" w:rsidRDefault="005C55CE" w:rsidP="00E57671">
            <w:pPr>
              <w:pStyle w:val="NormalWeb"/>
              <w:spacing w:before="0" w:beforeAutospacing="0" w:after="0" w:afterAutospacing="0"/>
              <w:jc w:val="center"/>
              <w:outlineLvl w:val="0"/>
              <w:rPr>
                <w:rFonts w:ascii="Arial" w:hAnsi="Arial" w:cs="Arial"/>
                <w:b/>
                <w:sz w:val="22"/>
                <w:szCs w:val="22"/>
                <w:lang w:eastAsia="en-US"/>
              </w:rPr>
            </w:pPr>
          </w:p>
          <w:p w14:paraId="3041F101" w14:textId="77777777" w:rsidR="005C55CE" w:rsidRPr="00525144" w:rsidRDefault="005C55CE" w:rsidP="00E57671">
            <w:pPr>
              <w:pStyle w:val="NormalWeb"/>
              <w:spacing w:before="0" w:beforeAutospacing="0" w:after="0" w:afterAutospacing="0"/>
              <w:jc w:val="center"/>
              <w:outlineLvl w:val="0"/>
              <w:rPr>
                <w:rFonts w:ascii="Arial" w:hAnsi="Arial" w:cs="Arial"/>
                <w:bCs/>
                <w:sz w:val="22"/>
                <w:szCs w:val="22"/>
                <w:lang w:eastAsia="en-US"/>
              </w:rPr>
            </w:pPr>
          </w:p>
        </w:tc>
      </w:tr>
      <w:tr w:rsidR="005C55CE" w:rsidRPr="00525144" w14:paraId="7E3572EC" w14:textId="77777777" w:rsidTr="00E57671">
        <w:trPr>
          <w:trHeight w:val="1123"/>
        </w:trPr>
        <w:tc>
          <w:tcPr>
            <w:tcW w:w="4502" w:type="dxa"/>
            <w:gridSpan w:val="2"/>
          </w:tcPr>
          <w:p w14:paraId="3477B923" w14:textId="77777777" w:rsidR="005C55CE" w:rsidRDefault="005C55CE" w:rsidP="00E57671">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Meeting and Minute</w:t>
            </w:r>
          </w:p>
          <w:p w14:paraId="3AB22B17" w14:textId="77777777" w:rsidR="002D01A2" w:rsidRPr="00F16A43" w:rsidRDefault="002D01A2" w:rsidP="00E57671">
            <w:pPr>
              <w:pStyle w:val="NormalWeb"/>
              <w:spacing w:before="0" w:beforeAutospacing="0" w:after="0" w:afterAutospacing="0"/>
              <w:jc w:val="center"/>
              <w:outlineLvl w:val="0"/>
              <w:rPr>
                <w:rFonts w:ascii="Arial" w:hAnsi="Arial" w:cs="Arial"/>
                <w:bCs/>
                <w:sz w:val="22"/>
                <w:szCs w:val="22"/>
                <w:lang w:eastAsia="en-US"/>
              </w:rPr>
            </w:pPr>
          </w:p>
          <w:p w14:paraId="23E4C78F" w14:textId="77777777" w:rsidR="002D01A2" w:rsidRPr="00F16A43" w:rsidRDefault="002D01A2" w:rsidP="00E57671">
            <w:pPr>
              <w:pStyle w:val="NormalWeb"/>
              <w:spacing w:before="0" w:beforeAutospacing="0" w:after="0" w:afterAutospacing="0"/>
              <w:jc w:val="center"/>
              <w:outlineLvl w:val="0"/>
              <w:rPr>
                <w:rFonts w:ascii="Arial" w:eastAsia="Times New Roman" w:hAnsi="Arial" w:cs="Arial"/>
                <w:bCs/>
                <w:szCs w:val="20"/>
                <w:lang w:eastAsia="en-US"/>
              </w:rPr>
            </w:pPr>
            <w:r w:rsidRPr="00F16A43">
              <w:rPr>
                <w:rFonts w:ascii="Arial" w:eastAsia="Times New Roman" w:hAnsi="Arial" w:cs="Arial"/>
                <w:bCs/>
                <w:szCs w:val="20"/>
                <w:lang w:eastAsia="en-US"/>
              </w:rPr>
              <w:t xml:space="preserve">Full Council </w:t>
            </w:r>
            <w:r w:rsidRPr="00F16A43">
              <w:rPr>
                <w:rFonts w:ascii="Arial" w:eastAsia="Times New Roman" w:hAnsi="Arial" w:cs="Arial"/>
                <w:bCs/>
                <w:szCs w:val="20"/>
                <w:lang w:eastAsia="en-US"/>
              </w:rPr>
              <w:t>23rd April 2025</w:t>
            </w:r>
          </w:p>
          <w:p w14:paraId="3D084681" w14:textId="280D31CC" w:rsidR="002D01A2" w:rsidRPr="00525144" w:rsidRDefault="002D01A2" w:rsidP="00E57671">
            <w:pPr>
              <w:pStyle w:val="NormalWeb"/>
              <w:spacing w:before="0" w:beforeAutospacing="0" w:after="0" w:afterAutospacing="0"/>
              <w:jc w:val="center"/>
              <w:outlineLvl w:val="0"/>
              <w:rPr>
                <w:rFonts w:ascii="Arial" w:hAnsi="Arial" w:cs="Arial"/>
                <w:b/>
                <w:sz w:val="22"/>
                <w:szCs w:val="22"/>
                <w:lang w:eastAsia="en-US"/>
              </w:rPr>
            </w:pPr>
            <w:r w:rsidRPr="00F16A43">
              <w:rPr>
                <w:rFonts w:ascii="Arial" w:eastAsia="Times New Roman" w:hAnsi="Arial" w:cs="Arial"/>
                <w:bCs/>
                <w:szCs w:val="20"/>
                <w:lang w:eastAsia="en-US"/>
              </w:rPr>
              <w:t xml:space="preserve">Minute </w:t>
            </w:r>
            <w:r w:rsidR="00F16A43" w:rsidRPr="00F16A43">
              <w:rPr>
                <w:rFonts w:ascii="Arial" w:eastAsia="Times New Roman" w:hAnsi="Arial" w:cs="Arial"/>
                <w:bCs/>
                <w:szCs w:val="20"/>
                <w:lang w:eastAsia="en-US"/>
              </w:rPr>
              <w:t>468</w:t>
            </w:r>
          </w:p>
        </w:tc>
        <w:tc>
          <w:tcPr>
            <w:tcW w:w="4502" w:type="dxa"/>
            <w:gridSpan w:val="2"/>
          </w:tcPr>
          <w:p w14:paraId="01859F1B" w14:textId="77777777" w:rsidR="005C55CE" w:rsidRPr="00525144" w:rsidRDefault="005C55CE" w:rsidP="00E57671">
            <w:pPr>
              <w:pStyle w:val="NormalWeb"/>
              <w:spacing w:before="0" w:beforeAutospacing="0" w:after="0" w:afterAutospacing="0"/>
              <w:jc w:val="center"/>
              <w:outlineLvl w:val="0"/>
              <w:rPr>
                <w:rFonts w:ascii="Arial" w:hAnsi="Arial" w:cs="Arial"/>
                <w:b/>
                <w:sz w:val="22"/>
                <w:szCs w:val="22"/>
                <w:lang w:eastAsia="en-US"/>
              </w:rPr>
            </w:pPr>
            <w:r w:rsidRPr="00525144">
              <w:rPr>
                <w:rFonts w:ascii="Arial" w:hAnsi="Arial" w:cs="Arial"/>
                <w:b/>
                <w:sz w:val="22"/>
                <w:szCs w:val="22"/>
                <w:lang w:eastAsia="en-US"/>
              </w:rPr>
              <w:t>Chair Signature</w:t>
            </w:r>
          </w:p>
        </w:tc>
      </w:tr>
      <w:bookmarkEnd w:id="0"/>
    </w:tbl>
    <w:p w14:paraId="7ADBB0EE" w14:textId="77777777" w:rsidR="003E6F55" w:rsidRDefault="003E6F55" w:rsidP="00E520B5">
      <w:pPr>
        <w:rPr>
          <w:rFonts w:ascii="Arial" w:hAnsi="Arial" w:cs="Arial"/>
          <w:b/>
          <w:bCs/>
        </w:rPr>
      </w:pPr>
    </w:p>
    <w:p w14:paraId="5981384A" w14:textId="4FF165D0" w:rsidR="00114E19" w:rsidRPr="00E520B5" w:rsidRDefault="00E520B5" w:rsidP="00E520B5">
      <w:pPr>
        <w:rPr>
          <w:rFonts w:ascii="Arial" w:hAnsi="Arial" w:cs="Arial"/>
          <w:b/>
          <w:bCs/>
        </w:rPr>
      </w:pPr>
      <w:r w:rsidRPr="00E520B5">
        <w:rPr>
          <w:rFonts w:ascii="Arial" w:hAnsi="Arial" w:cs="Arial"/>
          <w:b/>
          <w:bCs/>
        </w:rPr>
        <w:t>1.</w:t>
      </w:r>
      <w:r>
        <w:rPr>
          <w:rFonts w:ascii="Arial" w:hAnsi="Arial" w:cs="Arial"/>
          <w:b/>
          <w:bCs/>
        </w:rPr>
        <w:t xml:space="preserve"> </w:t>
      </w:r>
      <w:r w:rsidR="00114E19" w:rsidRPr="00E520B5">
        <w:rPr>
          <w:rFonts w:ascii="Arial" w:hAnsi="Arial" w:cs="Arial"/>
          <w:b/>
          <w:bCs/>
        </w:rPr>
        <w:t>Introduction</w:t>
      </w:r>
    </w:p>
    <w:p w14:paraId="0BF24359" w14:textId="77777777" w:rsidR="00E520B5" w:rsidRPr="00E520B5" w:rsidRDefault="00E520B5" w:rsidP="00E520B5"/>
    <w:p w14:paraId="4D5957B5" w14:textId="39F0E1D5" w:rsidR="00114E19" w:rsidRPr="00E520B5" w:rsidRDefault="00114E19" w:rsidP="00E520B5">
      <w:pPr>
        <w:pStyle w:val="ListParagraph"/>
        <w:numPr>
          <w:ilvl w:val="1"/>
          <w:numId w:val="68"/>
        </w:numPr>
        <w:rPr>
          <w:rFonts w:ascii="Arial" w:hAnsi="Arial" w:cs="Arial"/>
        </w:rPr>
      </w:pPr>
      <w:r w:rsidRPr="00E520B5">
        <w:rPr>
          <w:rFonts w:ascii="Arial" w:hAnsi="Arial" w:cs="Arial"/>
        </w:rPr>
        <w:t>Rugeley Town Council recognises the importance of prudently investing the funds held on behalf of the community.</w:t>
      </w:r>
    </w:p>
    <w:p w14:paraId="14AFDE53" w14:textId="77777777" w:rsidR="00E520B5" w:rsidRPr="00E520B5" w:rsidRDefault="00E520B5" w:rsidP="00E520B5">
      <w:pPr>
        <w:pStyle w:val="ListParagraph"/>
        <w:ind w:left="396"/>
        <w:rPr>
          <w:rFonts w:ascii="Arial" w:hAnsi="Arial" w:cs="Arial"/>
        </w:rPr>
      </w:pPr>
    </w:p>
    <w:p w14:paraId="77869903" w14:textId="77777777" w:rsidR="00114E19" w:rsidRPr="00427BF1" w:rsidRDefault="00114E19" w:rsidP="00114E19">
      <w:pPr>
        <w:rPr>
          <w:rFonts w:ascii="Arial" w:hAnsi="Arial" w:cs="Arial"/>
        </w:rPr>
      </w:pPr>
      <w:r w:rsidRPr="00427BF1">
        <w:rPr>
          <w:rFonts w:ascii="Arial" w:hAnsi="Arial" w:cs="Arial"/>
        </w:rPr>
        <w:t>1.2 This strategy is written in accordance with:</w:t>
      </w:r>
    </w:p>
    <w:p w14:paraId="01A8F544" w14:textId="77777777" w:rsidR="00114E19" w:rsidRPr="00427BF1" w:rsidRDefault="00114E19" w:rsidP="00114E19">
      <w:pPr>
        <w:numPr>
          <w:ilvl w:val="0"/>
          <w:numId w:val="55"/>
        </w:numPr>
        <w:rPr>
          <w:rFonts w:ascii="Arial" w:hAnsi="Arial" w:cs="Arial"/>
        </w:rPr>
      </w:pPr>
      <w:r w:rsidRPr="00427BF1">
        <w:rPr>
          <w:rFonts w:ascii="Arial" w:hAnsi="Arial" w:cs="Arial"/>
        </w:rPr>
        <w:t>Section 15(1)(a) of the Local Government Act 2003.</w:t>
      </w:r>
    </w:p>
    <w:p w14:paraId="49D5D7D7" w14:textId="77777777" w:rsidR="00114E19" w:rsidRPr="00427BF1" w:rsidRDefault="00114E19" w:rsidP="00114E19">
      <w:pPr>
        <w:numPr>
          <w:ilvl w:val="0"/>
          <w:numId w:val="55"/>
        </w:numPr>
        <w:rPr>
          <w:rFonts w:ascii="Arial" w:hAnsi="Arial" w:cs="Arial"/>
        </w:rPr>
      </w:pPr>
      <w:r w:rsidRPr="00427BF1">
        <w:rPr>
          <w:rFonts w:ascii="Arial" w:hAnsi="Arial" w:cs="Arial"/>
        </w:rPr>
        <w:t>Ministry for Housing, Communities and Local Government (MHCLG) Guidance on Local Government Investments.</w:t>
      </w:r>
    </w:p>
    <w:p w14:paraId="2BC63E68" w14:textId="77777777" w:rsidR="00114E19" w:rsidRPr="00427BF1" w:rsidRDefault="00114E19" w:rsidP="00114E19">
      <w:pPr>
        <w:numPr>
          <w:ilvl w:val="0"/>
          <w:numId w:val="55"/>
        </w:numPr>
        <w:rPr>
          <w:rFonts w:ascii="Arial" w:hAnsi="Arial" w:cs="Arial"/>
        </w:rPr>
      </w:pPr>
      <w:r w:rsidRPr="00427BF1">
        <w:rPr>
          <w:rFonts w:ascii="Arial" w:hAnsi="Arial" w:cs="Arial"/>
        </w:rPr>
        <w:t>CIPFA Treasury Management in the Public Services Code of Practice.</w:t>
      </w:r>
    </w:p>
    <w:p w14:paraId="6F54DEEA" w14:textId="77777777" w:rsidR="00114E19" w:rsidRDefault="00114E19" w:rsidP="00114E19">
      <w:pPr>
        <w:numPr>
          <w:ilvl w:val="0"/>
          <w:numId w:val="55"/>
        </w:numPr>
        <w:rPr>
          <w:rFonts w:ascii="Arial" w:hAnsi="Arial" w:cs="Arial"/>
        </w:rPr>
      </w:pPr>
      <w:r w:rsidRPr="00427BF1">
        <w:rPr>
          <w:rFonts w:ascii="Arial" w:hAnsi="Arial" w:cs="Arial"/>
        </w:rPr>
        <w:t>Governance and Accountability for Local Councils – Practitioners’ Guide.</w:t>
      </w:r>
    </w:p>
    <w:p w14:paraId="185372BE" w14:textId="77777777" w:rsidR="00E520B5" w:rsidRDefault="00E520B5" w:rsidP="00E520B5">
      <w:pPr>
        <w:ind w:left="720"/>
        <w:rPr>
          <w:rFonts w:ascii="Arial" w:hAnsi="Arial" w:cs="Arial"/>
        </w:rPr>
      </w:pPr>
    </w:p>
    <w:p w14:paraId="7B1C6F6D" w14:textId="04BC1CD1" w:rsidR="0080515E" w:rsidRPr="0080515E" w:rsidRDefault="0080515E" w:rsidP="0080515E">
      <w:pPr>
        <w:rPr>
          <w:rFonts w:ascii="Arial" w:hAnsi="Arial" w:cs="Arial"/>
        </w:rPr>
      </w:pPr>
      <w:r>
        <w:rPr>
          <w:rFonts w:ascii="Arial" w:hAnsi="Arial" w:cs="Arial"/>
        </w:rPr>
        <w:t xml:space="preserve">1.3 </w:t>
      </w:r>
      <w:r w:rsidRPr="0080515E">
        <w:rPr>
          <w:rFonts w:ascii="Arial" w:hAnsi="Arial" w:cs="Arial"/>
        </w:rPr>
        <w:t xml:space="preserve">This strategy is created under guidance issued by the Secretary of State for Communities and Local Government in accordance with the Local Government Act 2003. It states that a local authority may invest: </w:t>
      </w:r>
    </w:p>
    <w:p w14:paraId="0CEB9AA4" w14:textId="77777777" w:rsidR="0080515E" w:rsidRPr="00A368E8" w:rsidRDefault="0080515E" w:rsidP="00A368E8">
      <w:pPr>
        <w:pStyle w:val="ListParagraph"/>
        <w:numPr>
          <w:ilvl w:val="0"/>
          <w:numId w:val="63"/>
        </w:numPr>
        <w:rPr>
          <w:rFonts w:ascii="Arial" w:hAnsi="Arial" w:cs="Arial"/>
        </w:rPr>
      </w:pPr>
      <w:r w:rsidRPr="00A368E8">
        <w:rPr>
          <w:rFonts w:ascii="Arial" w:hAnsi="Arial" w:cs="Arial"/>
        </w:rPr>
        <w:t xml:space="preserve">For any purpose relevant to its functions under any enactment </w:t>
      </w:r>
    </w:p>
    <w:p w14:paraId="45984ABD" w14:textId="77777777" w:rsidR="0080515E" w:rsidRPr="00A368E8" w:rsidRDefault="0080515E" w:rsidP="00A368E8">
      <w:pPr>
        <w:pStyle w:val="ListParagraph"/>
        <w:numPr>
          <w:ilvl w:val="0"/>
          <w:numId w:val="63"/>
        </w:numPr>
        <w:rPr>
          <w:rFonts w:ascii="Arial" w:hAnsi="Arial" w:cs="Arial"/>
        </w:rPr>
      </w:pPr>
      <w:proofErr w:type="gramStart"/>
      <w:r w:rsidRPr="00A368E8">
        <w:rPr>
          <w:rFonts w:ascii="Arial" w:hAnsi="Arial" w:cs="Arial"/>
        </w:rPr>
        <w:t>For the purpose of</w:t>
      </w:r>
      <w:proofErr w:type="gramEnd"/>
      <w:r w:rsidRPr="00A368E8">
        <w:rPr>
          <w:rFonts w:ascii="Arial" w:hAnsi="Arial" w:cs="Arial"/>
        </w:rPr>
        <w:t xml:space="preserve"> prudent management of its financial affairs </w:t>
      </w:r>
    </w:p>
    <w:p w14:paraId="0EAC31E8" w14:textId="7E78013C" w:rsidR="009B578B" w:rsidRPr="00427BF1" w:rsidRDefault="009B578B" w:rsidP="0080515E">
      <w:pPr>
        <w:rPr>
          <w:rFonts w:ascii="Arial" w:hAnsi="Arial" w:cs="Arial"/>
        </w:rPr>
      </w:pPr>
    </w:p>
    <w:p w14:paraId="25F8AD9F" w14:textId="0C9C1522" w:rsidR="00114E19" w:rsidRDefault="00114E19" w:rsidP="00114E19">
      <w:pPr>
        <w:rPr>
          <w:rFonts w:ascii="Arial" w:hAnsi="Arial" w:cs="Arial"/>
        </w:rPr>
      </w:pPr>
      <w:r w:rsidRPr="00427BF1">
        <w:rPr>
          <w:rFonts w:ascii="Arial" w:hAnsi="Arial" w:cs="Arial"/>
        </w:rPr>
        <w:t>1.</w:t>
      </w:r>
      <w:r w:rsidR="0080515E">
        <w:rPr>
          <w:rFonts w:ascii="Arial" w:hAnsi="Arial" w:cs="Arial"/>
        </w:rPr>
        <w:t>4</w:t>
      </w:r>
      <w:r w:rsidRPr="00427BF1">
        <w:rPr>
          <w:rFonts w:ascii="Arial" w:hAnsi="Arial" w:cs="Arial"/>
        </w:rPr>
        <w:t xml:space="preserve"> The strategy outlines the Council’s objectives for treasury management, ensuring funds are secure, accessible when required, and invested to achieve a reasonable return.</w:t>
      </w:r>
    </w:p>
    <w:p w14:paraId="2CAF917C" w14:textId="77777777" w:rsidR="00887000" w:rsidRDefault="00887000" w:rsidP="00114E19">
      <w:pPr>
        <w:rPr>
          <w:rFonts w:ascii="Arial" w:hAnsi="Arial" w:cs="Arial"/>
        </w:rPr>
      </w:pPr>
    </w:p>
    <w:p w14:paraId="7890AA12" w14:textId="77777777" w:rsidR="00887000" w:rsidRPr="00887000" w:rsidRDefault="00887000" w:rsidP="00887000">
      <w:pPr>
        <w:rPr>
          <w:rFonts w:ascii="Arial" w:hAnsi="Arial" w:cs="Arial"/>
        </w:rPr>
      </w:pPr>
    </w:p>
    <w:p w14:paraId="5ABF7A8D" w14:textId="49F7B485" w:rsidR="00013CE1" w:rsidRPr="00013CE1" w:rsidRDefault="00013CE1" w:rsidP="00013CE1">
      <w:pPr>
        <w:rPr>
          <w:rFonts w:ascii="Arial" w:hAnsi="Arial" w:cs="Arial"/>
          <w:b/>
          <w:bCs/>
        </w:rPr>
      </w:pPr>
      <w:r w:rsidRPr="00013CE1">
        <w:rPr>
          <w:rFonts w:ascii="Arial" w:hAnsi="Arial" w:cs="Arial"/>
          <w:b/>
          <w:bCs/>
        </w:rPr>
        <w:t>2.</w:t>
      </w:r>
      <w:r>
        <w:rPr>
          <w:rFonts w:ascii="Arial" w:hAnsi="Arial" w:cs="Arial"/>
          <w:b/>
          <w:bCs/>
        </w:rPr>
        <w:t xml:space="preserve"> </w:t>
      </w:r>
      <w:r w:rsidR="00887000" w:rsidRPr="00013CE1">
        <w:rPr>
          <w:rFonts w:ascii="Arial" w:hAnsi="Arial" w:cs="Arial"/>
          <w:b/>
          <w:bCs/>
        </w:rPr>
        <w:t xml:space="preserve">The Strategy </w:t>
      </w:r>
    </w:p>
    <w:p w14:paraId="6E5862CF" w14:textId="77777777" w:rsidR="00013CE1" w:rsidRPr="00013CE1" w:rsidRDefault="00013CE1" w:rsidP="00013CE1"/>
    <w:p w14:paraId="60D96CF2" w14:textId="186AA4E4" w:rsidR="00887000" w:rsidRPr="00013CE1" w:rsidRDefault="00887000" w:rsidP="00013CE1">
      <w:pPr>
        <w:rPr>
          <w:rFonts w:ascii="Arial" w:hAnsi="Arial" w:cs="Arial"/>
        </w:rPr>
      </w:pPr>
      <w:r w:rsidRPr="00013CE1">
        <w:rPr>
          <w:rFonts w:ascii="Arial" w:hAnsi="Arial" w:cs="Arial"/>
        </w:rPr>
        <w:t>2.1 This strategy establishes formal objectives, policies and practices and reporting arrangements for the effective management and control of the Councils treasury management activities and the associated risks. Consultation took place with CCLA to consider</w:t>
      </w:r>
      <w:r w:rsidR="00E520B5">
        <w:rPr>
          <w:rFonts w:ascii="Arial" w:hAnsi="Arial" w:cs="Arial"/>
        </w:rPr>
        <w:t>.</w:t>
      </w:r>
    </w:p>
    <w:p w14:paraId="502974EB" w14:textId="77777777" w:rsidR="00114E19" w:rsidRPr="00427BF1" w:rsidRDefault="00114E19" w:rsidP="00114E19">
      <w:pPr>
        <w:rPr>
          <w:rFonts w:ascii="Arial" w:hAnsi="Arial" w:cs="Arial"/>
        </w:rPr>
      </w:pPr>
    </w:p>
    <w:p w14:paraId="61773223" w14:textId="3748B950" w:rsidR="00114E19" w:rsidRDefault="00E520B5" w:rsidP="00114E19">
      <w:pPr>
        <w:rPr>
          <w:rFonts w:ascii="Arial" w:hAnsi="Arial" w:cs="Arial"/>
          <w:b/>
          <w:bCs/>
        </w:rPr>
      </w:pPr>
      <w:r>
        <w:rPr>
          <w:rFonts w:ascii="Arial" w:hAnsi="Arial" w:cs="Arial"/>
          <w:b/>
          <w:bCs/>
        </w:rPr>
        <w:t>3</w:t>
      </w:r>
      <w:r w:rsidR="00114E19" w:rsidRPr="00427BF1">
        <w:rPr>
          <w:rFonts w:ascii="Arial" w:hAnsi="Arial" w:cs="Arial"/>
          <w:b/>
          <w:bCs/>
        </w:rPr>
        <w:t>. Investment Objectives</w:t>
      </w:r>
    </w:p>
    <w:p w14:paraId="5A56331D" w14:textId="77777777" w:rsidR="009C18D9" w:rsidRPr="009C18D9" w:rsidRDefault="009C18D9" w:rsidP="009C18D9">
      <w:pPr>
        <w:rPr>
          <w:rFonts w:ascii="Arial" w:hAnsi="Arial" w:cs="Arial"/>
          <w:b/>
          <w:bCs/>
        </w:rPr>
      </w:pPr>
    </w:p>
    <w:p w14:paraId="37F3CFA1" w14:textId="41F5369C" w:rsidR="009C18D9" w:rsidRPr="009C18D9" w:rsidRDefault="00E520B5" w:rsidP="009C18D9">
      <w:pPr>
        <w:rPr>
          <w:rFonts w:ascii="Arial" w:hAnsi="Arial" w:cs="Arial"/>
        </w:rPr>
      </w:pPr>
      <w:r>
        <w:rPr>
          <w:rFonts w:ascii="Arial" w:hAnsi="Arial" w:cs="Arial"/>
        </w:rPr>
        <w:t>3</w:t>
      </w:r>
      <w:r w:rsidR="009C18D9" w:rsidRPr="009C18D9">
        <w:rPr>
          <w:rFonts w:ascii="Arial" w:hAnsi="Arial" w:cs="Arial"/>
        </w:rPr>
        <w:t xml:space="preserve">.1 In accordance with Section 15 (1) of the Local Government Act 2003, the Council will have regard to: </w:t>
      </w:r>
    </w:p>
    <w:p w14:paraId="1F712324" w14:textId="72AF4F8F" w:rsidR="009C18D9" w:rsidRPr="009C18D9" w:rsidRDefault="009C18D9" w:rsidP="009C18D9">
      <w:pPr>
        <w:pStyle w:val="ListParagraph"/>
        <w:numPr>
          <w:ilvl w:val="0"/>
          <w:numId w:val="65"/>
        </w:numPr>
        <w:rPr>
          <w:rFonts w:ascii="Arial" w:hAnsi="Arial" w:cs="Arial"/>
        </w:rPr>
      </w:pPr>
      <w:r w:rsidRPr="009C18D9">
        <w:rPr>
          <w:rFonts w:ascii="Arial" w:hAnsi="Arial" w:cs="Arial"/>
        </w:rPr>
        <w:t xml:space="preserve">such guidance as the Secretary of State may issue and </w:t>
      </w:r>
    </w:p>
    <w:p w14:paraId="525DD2C6" w14:textId="7B53F8C2" w:rsidR="009C18D9" w:rsidRPr="009C18D9" w:rsidRDefault="009C18D9" w:rsidP="009C18D9">
      <w:pPr>
        <w:pStyle w:val="ListParagraph"/>
        <w:numPr>
          <w:ilvl w:val="0"/>
          <w:numId w:val="64"/>
        </w:numPr>
        <w:rPr>
          <w:rFonts w:ascii="Arial" w:hAnsi="Arial" w:cs="Arial"/>
        </w:rPr>
      </w:pPr>
      <w:r w:rsidRPr="009C18D9">
        <w:rPr>
          <w:rFonts w:ascii="Arial" w:hAnsi="Arial" w:cs="Arial"/>
        </w:rPr>
        <w:t xml:space="preserve">such other guidance as the Secretary of State may by regulations specify. </w:t>
      </w:r>
    </w:p>
    <w:p w14:paraId="746BE6B2" w14:textId="77777777" w:rsidR="009C18D9" w:rsidRPr="009C18D9" w:rsidRDefault="009C18D9" w:rsidP="009C18D9">
      <w:pPr>
        <w:rPr>
          <w:rFonts w:ascii="Arial" w:hAnsi="Arial" w:cs="Arial"/>
        </w:rPr>
      </w:pPr>
    </w:p>
    <w:p w14:paraId="66DA7E2D" w14:textId="7245828A" w:rsidR="009C18D9" w:rsidRDefault="00E520B5" w:rsidP="009C18D9">
      <w:pPr>
        <w:rPr>
          <w:rFonts w:ascii="Arial" w:hAnsi="Arial" w:cs="Arial"/>
        </w:rPr>
      </w:pPr>
      <w:r>
        <w:rPr>
          <w:rFonts w:ascii="Arial" w:hAnsi="Arial" w:cs="Arial"/>
        </w:rPr>
        <w:t>3</w:t>
      </w:r>
      <w:r w:rsidR="009C18D9" w:rsidRPr="009C18D9">
        <w:rPr>
          <w:rFonts w:ascii="Arial" w:hAnsi="Arial" w:cs="Arial"/>
        </w:rPr>
        <w:t>.2 Both the CIPFA Treasury Management Code and MHCLG Guidance require the Council to invest its funds prudently, and to have regard to the security (protecting the capital sum from loss) and liquidity (ensuring funds are easily available / available when required) of its investments before seeking the highest rate of return / yield.</w:t>
      </w:r>
    </w:p>
    <w:p w14:paraId="002B2982" w14:textId="77777777" w:rsidR="00E520B5" w:rsidRPr="00427BF1" w:rsidRDefault="00E520B5" w:rsidP="009C18D9">
      <w:pPr>
        <w:rPr>
          <w:rFonts w:ascii="Arial" w:hAnsi="Arial" w:cs="Arial"/>
        </w:rPr>
      </w:pPr>
    </w:p>
    <w:p w14:paraId="34CB4F98" w14:textId="79DA2979" w:rsidR="00114E19" w:rsidRPr="00427BF1" w:rsidRDefault="00E520B5" w:rsidP="00114E19">
      <w:pPr>
        <w:rPr>
          <w:rFonts w:ascii="Arial" w:hAnsi="Arial" w:cs="Arial"/>
        </w:rPr>
      </w:pPr>
      <w:r>
        <w:rPr>
          <w:rFonts w:ascii="Arial" w:hAnsi="Arial" w:cs="Arial"/>
        </w:rPr>
        <w:t>3</w:t>
      </w:r>
      <w:r w:rsidR="00114E19" w:rsidRPr="00427BF1">
        <w:rPr>
          <w:rFonts w:ascii="Arial" w:hAnsi="Arial" w:cs="Arial"/>
        </w:rPr>
        <w:t>.</w:t>
      </w:r>
      <w:r w:rsidR="009C18D9">
        <w:rPr>
          <w:rFonts w:ascii="Arial" w:hAnsi="Arial" w:cs="Arial"/>
        </w:rPr>
        <w:t>3</w:t>
      </w:r>
      <w:r w:rsidR="00114E19" w:rsidRPr="00427BF1">
        <w:rPr>
          <w:rFonts w:ascii="Arial" w:hAnsi="Arial" w:cs="Arial"/>
        </w:rPr>
        <w:t xml:space="preserve"> The Council’s investment priorities are, in order:</w:t>
      </w:r>
    </w:p>
    <w:p w14:paraId="76B93CC1" w14:textId="77777777" w:rsidR="00114E19" w:rsidRPr="00427BF1" w:rsidRDefault="00114E19" w:rsidP="00114E19">
      <w:pPr>
        <w:numPr>
          <w:ilvl w:val="0"/>
          <w:numId w:val="56"/>
        </w:numPr>
        <w:rPr>
          <w:rFonts w:ascii="Arial" w:hAnsi="Arial" w:cs="Arial"/>
        </w:rPr>
      </w:pPr>
      <w:r w:rsidRPr="00427BF1">
        <w:rPr>
          <w:rFonts w:ascii="Arial" w:hAnsi="Arial" w:cs="Arial"/>
        </w:rPr>
        <w:t>Security – ensuring the investment capital is protected.</w:t>
      </w:r>
    </w:p>
    <w:p w14:paraId="3B5C9D58" w14:textId="77777777" w:rsidR="00114E19" w:rsidRPr="00427BF1" w:rsidRDefault="00114E19" w:rsidP="00114E19">
      <w:pPr>
        <w:numPr>
          <w:ilvl w:val="0"/>
          <w:numId w:val="56"/>
        </w:numPr>
        <w:rPr>
          <w:rFonts w:ascii="Arial" w:hAnsi="Arial" w:cs="Arial"/>
        </w:rPr>
      </w:pPr>
      <w:r w:rsidRPr="00427BF1">
        <w:rPr>
          <w:rFonts w:ascii="Arial" w:hAnsi="Arial" w:cs="Arial"/>
        </w:rPr>
        <w:t>Liquidity – ensuring funds are available when required.</w:t>
      </w:r>
    </w:p>
    <w:p w14:paraId="6B0CFBBA" w14:textId="77777777" w:rsidR="00114E19" w:rsidRPr="00427BF1" w:rsidRDefault="00114E19" w:rsidP="00114E19">
      <w:pPr>
        <w:numPr>
          <w:ilvl w:val="0"/>
          <w:numId w:val="56"/>
        </w:numPr>
        <w:rPr>
          <w:rFonts w:ascii="Arial" w:hAnsi="Arial" w:cs="Arial"/>
        </w:rPr>
      </w:pPr>
      <w:r w:rsidRPr="00427BF1">
        <w:rPr>
          <w:rFonts w:ascii="Arial" w:hAnsi="Arial" w:cs="Arial"/>
        </w:rPr>
        <w:t>Yield – achieving a modest return consistent with security and liquidity.</w:t>
      </w:r>
    </w:p>
    <w:p w14:paraId="6C2208B3" w14:textId="68B5795D" w:rsidR="00114E19" w:rsidRDefault="00E520B5" w:rsidP="00114E19">
      <w:pPr>
        <w:rPr>
          <w:rFonts w:ascii="Arial" w:hAnsi="Arial" w:cs="Arial"/>
        </w:rPr>
      </w:pPr>
      <w:r>
        <w:rPr>
          <w:rFonts w:ascii="Arial" w:hAnsi="Arial" w:cs="Arial"/>
        </w:rPr>
        <w:lastRenderedPageBreak/>
        <w:t>3</w:t>
      </w:r>
      <w:r w:rsidR="00114E19" w:rsidRPr="00427BF1">
        <w:rPr>
          <w:rFonts w:ascii="Arial" w:hAnsi="Arial" w:cs="Arial"/>
        </w:rPr>
        <w:t>.</w:t>
      </w:r>
      <w:r w:rsidR="009C18D9">
        <w:rPr>
          <w:rFonts w:ascii="Arial" w:hAnsi="Arial" w:cs="Arial"/>
        </w:rPr>
        <w:t>4</w:t>
      </w:r>
      <w:r w:rsidR="00114E19" w:rsidRPr="00427BF1">
        <w:rPr>
          <w:rFonts w:ascii="Arial" w:hAnsi="Arial" w:cs="Arial"/>
        </w:rPr>
        <w:t xml:space="preserve"> The Council will not engage in borrowing purely for investment or to make a return.</w:t>
      </w:r>
    </w:p>
    <w:p w14:paraId="79BCE44F" w14:textId="77777777" w:rsidR="000C01BE" w:rsidRPr="00427BF1" w:rsidRDefault="000C01BE" w:rsidP="00114E19">
      <w:pPr>
        <w:rPr>
          <w:rFonts w:ascii="Arial" w:hAnsi="Arial" w:cs="Arial"/>
        </w:rPr>
      </w:pPr>
    </w:p>
    <w:p w14:paraId="70B4BE39" w14:textId="6738DE44" w:rsidR="00114E19" w:rsidRPr="00427BF1" w:rsidRDefault="00E520B5" w:rsidP="00114E19">
      <w:pPr>
        <w:rPr>
          <w:rFonts w:ascii="Arial" w:hAnsi="Arial" w:cs="Arial"/>
        </w:rPr>
      </w:pPr>
      <w:r>
        <w:rPr>
          <w:rFonts w:ascii="Arial" w:hAnsi="Arial" w:cs="Arial"/>
        </w:rPr>
        <w:t>3</w:t>
      </w:r>
      <w:r w:rsidR="00114E19" w:rsidRPr="00427BF1">
        <w:rPr>
          <w:rFonts w:ascii="Arial" w:hAnsi="Arial" w:cs="Arial"/>
        </w:rPr>
        <w:t>.</w:t>
      </w:r>
      <w:r w:rsidR="009C18D9">
        <w:rPr>
          <w:rFonts w:ascii="Arial" w:hAnsi="Arial" w:cs="Arial"/>
        </w:rPr>
        <w:t>5</w:t>
      </w:r>
      <w:r w:rsidR="00114E19" w:rsidRPr="00427BF1">
        <w:rPr>
          <w:rFonts w:ascii="Arial" w:hAnsi="Arial" w:cs="Arial"/>
        </w:rPr>
        <w:t xml:space="preserve"> Investment decisions will reflect a cautious approach that minimises exposure to risk and prioritises the safeguarding of public funds.</w:t>
      </w:r>
    </w:p>
    <w:p w14:paraId="60F29301" w14:textId="77777777" w:rsidR="00114E19" w:rsidRPr="00427BF1" w:rsidRDefault="00114E19" w:rsidP="00114E19">
      <w:pPr>
        <w:rPr>
          <w:rFonts w:ascii="Arial" w:hAnsi="Arial" w:cs="Arial"/>
        </w:rPr>
      </w:pPr>
    </w:p>
    <w:p w14:paraId="54FE88C5" w14:textId="7911BEFC" w:rsidR="00114E19" w:rsidRPr="000C01BE" w:rsidRDefault="000C01BE" w:rsidP="000C01BE">
      <w:pPr>
        <w:rPr>
          <w:rFonts w:ascii="Arial" w:hAnsi="Arial" w:cs="Arial"/>
          <w:b/>
          <w:bCs/>
        </w:rPr>
      </w:pPr>
      <w:r w:rsidRPr="000C01BE">
        <w:rPr>
          <w:rFonts w:ascii="Arial" w:hAnsi="Arial" w:cs="Arial"/>
          <w:b/>
          <w:bCs/>
        </w:rPr>
        <w:t>4.</w:t>
      </w:r>
      <w:r>
        <w:rPr>
          <w:rFonts w:ascii="Arial" w:hAnsi="Arial" w:cs="Arial"/>
          <w:b/>
          <w:bCs/>
        </w:rPr>
        <w:t xml:space="preserve"> </w:t>
      </w:r>
      <w:r w:rsidR="00114E19" w:rsidRPr="000C01BE">
        <w:rPr>
          <w:rFonts w:ascii="Arial" w:hAnsi="Arial" w:cs="Arial"/>
          <w:b/>
          <w:bCs/>
        </w:rPr>
        <w:t>Types of Investments</w:t>
      </w:r>
    </w:p>
    <w:p w14:paraId="5CA6E9BE" w14:textId="77777777" w:rsidR="000C01BE" w:rsidRPr="000C01BE" w:rsidRDefault="000C01BE" w:rsidP="000C01BE"/>
    <w:p w14:paraId="43D1CDA0" w14:textId="708F2039" w:rsidR="00114E19" w:rsidRPr="00427BF1" w:rsidRDefault="000C01BE" w:rsidP="00114E19">
      <w:pPr>
        <w:rPr>
          <w:rFonts w:ascii="Arial" w:hAnsi="Arial" w:cs="Arial"/>
        </w:rPr>
      </w:pPr>
      <w:r>
        <w:rPr>
          <w:rFonts w:ascii="Arial" w:hAnsi="Arial" w:cs="Arial"/>
        </w:rPr>
        <w:t>4</w:t>
      </w:r>
      <w:r w:rsidR="00114E19" w:rsidRPr="00427BF1">
        <w:rPr>
          <w:rFonts w:ascii="Arial" w:hAnsi="Arial" w:cs="Arial"/>
        </w:rPr>
        <w:t xml:space="preserve">.1 </w:t>
      </w:r>
      <w:r w:rsidR="004D197E" w:rsidRPr="004D197E">
        <w:rPr>
          <w:rFonts w:ascii="Arial" w:hAnsi="Arial" w:cs="Arial"/>
        </w:rPr>
        <w:t xml:space="preserve">MHCLG Guidance defines specified investments as those: </w:t>
      </w:r>
    </w:p>
    <w:p w14:paraId="62CA47B8" w14:textId="77777777" w:rsidR="00114E19" w:rsidRPr="00427BF1" w:rsidRDefault="00114E19" w:rsidP="00114E19">
      <w:pPr>
        <w:rPr>
          <w:rFonts w:ascii="Arial" w:hAnsi="Arial" w:cs="Arial"/>
        </w:rPr>
      </w:pPr>
      <w:r w:rsidRPr="00427BF1">
        <w:rPr>
          <w:rFonts w:ascii="Arial" w:hAnsi="Arial" w:cs="Arial"/>
        </w:rPr>
        <w:t>These are:</w:t>
      </w:r>
    </w:p>
    <w:p w14:paraId="052E3A76" w14:textId="77777777" w:rsidR="00114E19" w:rsidRPr="00427BF1" w:rsidRDefault="00114E19" w:rsidP="00114E19">
      <w:pPr>
        <w:numPr>
          <w:ilvl w:val="0"/>
          <w:numId w:val="57"/>
        </w:numPr>
        <w:rPr>
          <w:rFonts w:ascii="Arial" w:hAnsi="Arial" w:cs="Arial"/>
        </w:rPr>
      </w:pPr>
      <w:r w:rsidRPr="00427BF1">
        <w:rPr>
          <w:rFonts w:ascii="Arial" w:hAnsi="Arial" w:cs="Arial"/>
        </w:rPr>
        <w:t>In sterling.</w:t>
      </w:r>
    </w:p>
    <w:p w14:paraId="59856176" w14:textId="77777777" w:rsidR="00114E19" w:rsidRPr="00427BF1" w:rsidRDefault="00114E19" w:rsidP="00114E19">
      <w:pPr>
        <w:numPr>
          <w:ilvl w:val="0"/>
          <w:numId w:val="57"/>
        </w:numPr>
        <w:rPr>
          <w:rFonts w:ascii="Arial" w:hAnsi="Arial" w:cs="Arial"/>
        </w:rPr>
      </w:pPr>
      <w:r w:rsidRPr="00427BF1">
        <w:rPr>
          <w:rFonts w:ascii="Arial" w:hAnsi="Arial" w:cs="Arial"/>
        </w:rPr>
        <w:t>Have a maturity of no more than 12 months.</w:t>
      </w:r>
    </w:p>
    <w:p w14:paraId="6CF8C63A" w14:textId="77777777" w:rsidR="00114E19" w:rsidRPr="00427BF1" w:rsidRDefault="00114E19" w:rsidP="00114E19">
      <w:pPr>
        <w:numPr>
          <w:ilvl w:val="0"/>
          <w:numId w:val="57"/>
        </w:numPr>
        <w:rPr>
          <w:rFonts w:ascii="Arial" w:hAnsi="Arial" w:cs="Arial"/>
        </w:rPr>
      </w:pPr>
      <w:r w:rsidRPr="00427BF1">
        <w:rPr>
          <w:rFonts w:ascii="Arial" w:hAnsi="Arial" w:cs="Arial"/>
        </w:rPr>
        <w:t>Do not constitute capital expenditure.</w:t>
      </w:r>
    </w:p>
    <w:p w14:paraId="1ED9A186" w14:textId="77777777" w:rsidR="00114E19" w:rsidRPr="00427BF1" w:rsidRDefault="00114E19" w:rsidP="00114E19">
      <w:pPr>
        <w:numPr>
          <w:ilvl w:val="0"/>
          <w:numId w:val="57"/>
        </w:numPr>
        <w:rPr>
          <w:rFonts w:ascii="Arial" w:hAnsi="Arial" w:cs="Arial"/>
        </w:rPr>
      </w:pPr>
      <w:r w:rsidRPr="00427BF1">
        <w:rPr>
          <w:rFonts w:ascii="Arial" w:hAnsi="Arial" w:cs="Arial"/>
        </w:rPr>
        <w:t>Are made with:</w:t>
      </w:r>
    </w:p>
    <w:p w14:paraId="1E164E4D" w14:textId="77777777" w:rsidR="00114E19" w:rsidRPr="00427BF1" w:rsidRDefault="00114E19" w:rsidP="00114E19">
      <w:pPr>
        <w:numPr>
          <w:ilvl w:val="1"/>
          <w:numId w:val="57"/>
        </w:numPr>
        <w:rPr>
          <w:rFonts w:ascii="Arial" w:hAnsi="Arial" w:cs="Arial"/>
        </w:rPr>
      </w:pPr>
      <w:r w:rsidRPr="00427BF1">
        <w:rPr>
          <w:rFonts w:ascii="Arial" w:hAnsi="Arial" w:cs="Arial"/>
        </w:rPr>
        <w:t>The UK Government.</w:t>
      </w:r>
    </w:p>
    <w:p w14:paraId="58C6916D" w14:textId="77777777" w:rsidR="00114E19" w:rsidRPr="00427BF1" w:rsidRDefault="00114E19" w:rsidP="00114E19">
      <w:pPr>
        <w:numPr>
          <w:ilvl w:val="1"/>
          <w:numId w:val="57"/>
        </w:numPr>
        <w:rPr>
          <w:rFonts w:ascii="Arial" w:hAnsi="Arial" w:cs="Arial"/>
        </w:rPr>
      </w:pPr>
      <w:r w:rsidRPr="00427BF1">
        <w:rPr>
          <w:rFonts w:ascii="Arial" w:hAnsi="Arial" w:cs="Arial"/>
        </w:rPr>
        <w:t>UK local authorities or public bodies.</w:t>
      </w:r>
    </w:p>
    <w:p w14:paraId="54C5D7F1" w14:textId="77777777" w:rsidR="00114E19" w:rsidRDefault="00114E19" w:rsidP="00114E19">
      <w:pPr>
        <w:numPr>
          <w:ilvl w:val="1"/>
          <w:numId w:val="57"/>
        </w:numPr>
        <w:rPr>
          <w:rFonts w:ascii="Arial" w:hAnsi="Arial" w:cs="Arial"/>
        </w:rPr>
      </w:pPr>
      <w:r w:rsidRPr="00427BF1">
        <w:rPr>
          <w:rFonts w:ascii="Arial" w:hAnsi="Arial" w:cs="Arial"/>
        </w:rPr>
        <w:t>Institutions with a credit rating of A- or above.</w:t>
      </w:r>
    </w:p>
    <w:p w14:paraId="1A09DA93" w14:textId="77777777" w:rsidR="00413F1C" w:rsidRPr="00427BF1" w:rsidRDefault="00413F1C" w:rsidP="00413F1C">
      <w:pPr>
        <w:ind w:left="1440"/>
        <w:rPr>
          <w:rFonts w:ascii="Arial" w:hAnsi="Arial" w:cs="Arial"/>
        </w:rPr>
      </w:pPr>
    </w:p>
    <w:p w14:paraId="44FA0E1E" w14:textId="77777777" w:rsidR="00114E19" w:rsidRPr="00427BF1" w:rsidRDefault="00114E19" w:rsidP="00114E19">
      <w:pPr>
        <w:rPr>
          <w:rFonts w:ascii="Arial" w:hAnsi="Arial" w:cs="Arial"/>
        </w:rPr>
      </w:pPr>
      <w:r w:rsidRPr="00427BF1">
        <w:rPr>
          <w:rFonts w:ascii="Arial" w:hAnsi="Arial" w:cs="Arial"/>
        </w:rPr>
        <w:t>Permitted specified investments include:</w:t>
      </w:r>
    </w:p>
    <w:p w14:paraId="47FC7F5F" w14:textId="77777777" w:rsidR="00114E19" w:rsidRPr="00427BF1" w:rsidRDefault="00114E19" w:rsidP="00114E19">
      <w:pPr>
        <w:numPr>
          <w:ilvl w:val="0"/>
          <w:numId w:val="58"/>
        </w:numPr>
        <w:rPr>
          <w:rFonts w:ascii="Arial" w:hAnsi="Arial" w:cs="Arial"/>
        </w:rPr>
      </w:pPr>
      <w:r w:rsidRPr="00427BF1">
        <w:rPr>
          <w:rFonts w:ascii="Arial" w:hAnsi="Arial" w:cs="Arial"/>
        </w:rPr>
        <w:t>High street bank and building society accounts.</w:t>
      </w:r>
    </w:p>
    <w:p w14:paraId="3CAF3D9F" w14:textId="77777777" w:rsidR="00114E19" w:rsidRPr="00427BF1" w:rsidRDefault="00114E19" w:rsidP="00114E19">
      <w:pPr>
        <w:numPr>
          <w:ilvl w:val="0"/>
          <w:numId w:val="58"/>
        </w:numPr>
        <w:rPr>
          <w:rFonts w:ascii="Arial" w:hAnsi="Arial" w:cs="Arial"/>
        </w:rPr>
      </w:pPr>
      <w:r w:rsidRPr="00427BF1">
        <w:rPr>
          <w:rFonts w:ascii="Arial" w:hAnsi="Arial" w:cs="Arial"/>
        </w:rPr>
        <w:t>Treasury deposits with UK clearing banks.</w:t>
      </w:r>
    </w:p>
    <w:p w14:paraId="29DBDBFF" w14:textId="77777777" w:rsidR="00114E19" w:rsidRPr="00427BF1" w:rsidRDefault="00114E19" w:rsidP="00114E19">
      <w:pPr>
        <w:numPr>
          <w:ilvl w:val="0"/>
          <w:numId w:val="58"/>
        </w:numPr>
        <w:rPr>
          <w:rFonts w:ascii="Arial" w:hAnsi="Arial" w:cs="Arial"/>
        </w:rPr>
      </w:pPr>
      <w:r w:rsidRPr="00427BF1">
        <w:rPr>
          <w:rFonts w:ascii="Arial" w:hAnsi="Arial" w:cs="Arial"/>
        </w:rPr>
        <w:t>FCA-regulated money market funds.</w:t>
      </w:r>
    </w:p>
    <w:p w14:paraId="72939A4E" w14:textId="77777777" w:rsidR="00114E19" w:rsidRDefault="00114E19" w:rsidP="00114E19">
      <w:pPr>
        <w:numPr>
          <w:ilvl w:val="0"/>
          <w:numId w:val="58"/>
        </w:numPr>
        <w:rPr>
          <w:rFonts w:ascii="Arial" w:hAnsi="Arial" w:cs="Arial"/>
        </w:rPr>
      </w:pPr>
      <w:r w:rsidRPr="00427BF1">
        <w:rPr>
          <w:rFonts w:ascii="Arial" w:hAnsi="Arial" w:cs="Arial"/>
        </w:rPr>
        <w:t>The CCLA Public Sector Deposit Fund.</w:t>
      </w:r>
    </w:p>
    <w:p w14:paraId="1B9288BF" w14:textId="77777777" w:rsidR="00C05B6A" w:rsidRDefault="00C05B6A" w:rsidP="00C05B6A">
      <w:pPr>
        <w:rPr>
          <w:rFonts w:ascii="Arial" w:hAnsi="Arial" w:cs="Arial"/>
        </w:rPr>
      </w:pPr>
    </w:p>
    <w:p w14:paraId="68361D6E" w14:textId="0E6D99B7" w:rsidR="00C05B6A" w:rsidRDefault="00C05B6A" w:rsidP="00C05B6A">
      <w:pPr>
        <w:rPr>
          <w:rFonts w:ascii="Arial" w:hAnsi="Arial" w:cs="Arial"/>
        </w:rPr>
      </w:pPr>
      <w:r>
        <w:rPr>
          <w:rFonts w:ascii="Arial" w:hAnsi="Arial" w:cs="Arial"/>
        </w:rPr>
        <w:t xml:space="preserve">4.2 </w:t>
      </w:r>
      <w:r w:rsidRPr="00C05B6A">
        <w:rPr>
          <w:rFonts w:ascii="Arial" w:hAnsi="Arial" w:cs="Arial"/>
        </w:rPr>
        <w:t xml:space="preserve">The choice of institution and length of deposit will be at the discretion of the </w:t>
      </w:r>
      <w:r>
        <w:rPr>
          <w:rFonts w:ascii="Arial" w:hAnsi="Arial" w:cs="Arial"/>
        </w:rPr>
        <w:t>Full Council</w:t>
      </w:r>
      <w:r w:rsidRPr="00C05B6A">
        <w:rPr>
          <w:rFonts w:ascii="Arial" w:hAnsi="Arial" w:cs="Arial"/>
        </w:rPr>
        <w:t>. In October 2021 it was agreed that the CCLA Public Sector Deposit Fund be used to hold all funds not being held in the Lloyds Bank current account.</w:t>
      </w:r>
    </w:p>
    <w:p w14:paraId="2BB9CF50" w14:textId="77777777" w:rsidR="00413F1C" w:rsidRPr="00427BF1" w:rsidRDefault="00413F1C" w:rsidP="00413F1C">
      <w:pPr>
        <w:ind w:left="720"/>
        <w:rPr>
          <w:rFonts w:ascii="Arial" w:hAnsi="Arial" w:cs="Arial"/>
        </w:rPr>
      </w:pPr>
    </w:p>
    <w:p w14:paraId="239385EB" w14:textId="36BA826A" w:rsidR="00114E19" w:rsidRPr="00427BF1" w:rsidRDefault="00337997" w:rsidP="00114E19">
      <w:pPr>
        <w:rPr>
          <w:rFonts w:ascii="Arial" w:hAnsi="Arial" w:cs="Arial"/>
        </w:rPr>
      </w:pPr>
      <w:r>
        <w:rPr>
          <w:rFonts w:ascii="Arial" w:hAnsi="Arial" w:cs="Arial"/>
        </w:rPr>
        <w:t>4</w:t>
      </w:r>
      <w:r w:rsidR="00114E19" w:rsidRPr="00427BF1">
        <w:rPr>
          <w:rFonts w:ascii="Arial" w:hAnsi="Arial" w:cs="Arial"/>
        </w:rPr>
        <w:t>.</w:t>
      </w:r>
      <w:r w:rsidR="00736472">
        <w:rPr>
          <w:rFonts w:ascii="Arial" w:hAnsi="Arial" w:cs="Arial"/>
        </w:rPr>
        <w:t>3</w:t>
      </w:r>
      <w:r w:rsidR="00114E19" w:rsidRPr="00427BF1">
        <w:rPr>
          <w:rFonts w:ascii="Arial" w:hAnsi="Arial" w:cs="Arial"/>
        </w:rPr>
        <w:t xml:space="preserve"> Non-Specified Investments</w:t>
      </w:r>
    </w:p>
    <w:p w14:paraId="6D854B48" w14:textId="77777777" w:rsidR="00114E19" w:rsidRDefault="00114E19" w:rsidP="00114E19">
      <w:pPr>
        <w:rPr>
          <w:rFonts w:ascii="Arial" w:hAnsi="Arial" w:cs="Arial"/>
        </w:rPr>
      </w:pPr>
      <w:r w:rsidRPr="00427BF1">
        <w:rPr>
          <w:rFonts w:ascii="Arial" w:hAnsi="Arial" w:cs="Arial"/>
        </w:rPr>
        <w:t>Due to higher risks, non-specified investments (e.g. stocks, shares, property) will not be used by Rugeley Town Council.</w:t>
      </w:r>
    </w:p>
    <w:p w14:paraId="6A216E2E" w14:textId="77777777" w:rsidR="006F7558" w:rsidRDefault="006F7558" w:rsidP="00114E19">
      <w:pPr>
        <w:rPr>
          <w:rFonts w:ascii="Arial" w:hAnsi="Arial" w:cs="Arial"/>
        </w:rPr>
      </w:pPr>
    </w:p>
    <w:p w14:paraId="23DEE359" w14:textId="334F3440" w:rsidR="006F7558" w:rsidRDefault="006F7558" w:rsidP="006F7558">
      <w:pPr>
        <w:rPr>
          <w:rFonts w:ascii="Arial" w:hAnsi="Arial" w:cs="Arial"/>
          <w:b/>
          <w:bCs/>
        </w:rPr>
      </w:pPr>
      <w:r>
        <w:rPr>
          <w:rFonts w:ascii="Arial" w:hAnsi="Arial" w:cs="Arial"/>
          <w:b/>
          <w:bCs/>
        </w:rPr>
        <w:t>5</w:t>
      </w:r>
      <w:r w:rsidRPr="006F7558">
        <w:rPr>
          <w:rFonts w:ascii="Arial" w:hAnsi="Arial" w:cs="Arial"/>
          <w:b/>
          <w:bCs/>
        </w:rPr>
        <w:t xml:space="preserve"> Loans </w:t>
      </w:r>
    </w:p>
    <w:p w14:paraId="717F7E12" w14:textId="77777777" w:rsidR="00530CE2" w:rsidRPr="006F7558" w:rsidRDefault="00530CE2" w:rsidP="006F7558">
      <w:pPr>
        <w:rPr>
          <w:rFonts w:ascii="Arial" w:hAnsi="Arial" w:cs="Arial"/>
        </w:rPr>
      </w:pPr>
    </w:p>
    <w:p w14:paraId="38C49CC2" w14:textId="56ADB839" w:rsidR="006F7558" w:rsidRDefault="006F7558" w:rsidP="006F7558">
      <w:pPr>
        <w:rPr>
          <w:rFonts w:ascii="Arial" w:hAnsi="Arial" w:cs="Arial"/>
        </w:rPr>
      </w:pPr>
      <w:r>
        <w:rPr>
          <w:rFonts w:ascii="Arial" w:hAnsi="Arial" w:cs="Arial"/>
        </w:rPr>
        <w:t>5</w:t>
      </w:r>
      <w:r w:rsidRPr="006F7558">
        <w:rPr>
          <w:rFonts w:ascii="Arial" w:hAnsi="Arial" w:cs="Arial"/>
        </w:rPr>
        <w:t xml:space="preserve">.1 The Council will not make loans to local enterprises, local charities, wholly owned companies, joint ventures or individuals for any reason. </w:t>
      </w:r>
    </w:p>
    <w:p w14:paraId="7FDC8BA2" w14:textId="77777777" w:rsidR="00530CE2" w:rsidRPr="006F7558" w:rsidRDefault="00530CE2" w:rsidP="006F7558">
      <w:pPr>
        <w:rPr>
          <w:rFonts w:ascii="Arial" w:hAnsi="Arial" w:cs="Arial"/>
        </w:rPr>
      </w:pPr>
    </w:p>
    <w:p w14:paraId="69BE86A1" w14:textId="0FC8AFBE" w:rsidR="006F7558" w:rsidRPr="00530CE2" w:rsidRDefault="00530CE2" w:rsidP="00530CE2">
      <w:pPr>
        <w:rPr>
          <w:rFonts w:ascii="Arial" w:hAnsi="Arial" w:cs="Arial"/>
          <w:b/>
          <w:bCs/>
        </w:rPr>
      </w:pPr>
      <w:r w:rsidRPr="00530CE2">
        <w:rPr>
          <w:rFonts w:ascii="Arial" w:hAnsi="Arial" w:cs="Arial"/>
          <w:b/>
          <w:bCs/>
        </w:rPr>
        <w:t>6.</w:t>
      </w:r>
      <w:r>
        <w:rPr>
          <w:rFonts w:ascii="Arial" w:hAnsi="Arial" w:cs="Arial"/>
          <w:b/>
          <w:bCs/>
        </w:rPr>
        <w:t xml:space="preserve"> </w:t>
      </w:r>
      <w:r w:rsidR="006F7558" w:rsidRPr="00530CE2">
        <w:rPr>
          <w:rFonts w:ascii="Arial" w:hAnsi="Arial" w:cs="Arial"/>
          <w:b/>
          <w:bCs/>
        </w:rPr>
        <w:t xml:space="preserve">Liquidity of Investments </w:t>
      </w:r>
    </w:p>
    <w:p w14:paraId="6C957146" w14:textId="77777777" w:rsidR="00530CE2" w:rsidRPr="00530CE2" w:rsidRDefault="00530CE2" w:rsidP="00530CE2"/>
    <w:p w14:paraId="4D3FCB9E" w14:textId="42D03DFC" w:rsidR="006F7558" w:rsidRDefault="006F7558" w:rsidP="006F7558">
      <w:pPr>
        <w:rPr>
          <w:rFonts w:ascii="Arial" w:hAnsi="Arial" w:cs="Arial"/>
        </w:rPr>
      </w:pPr>
      <w:r>
        <w:rPr>
          <w:rFonts w:ascii="Arial" w:hAnsi="Arial" w:cs="Arial"/>
        </w:rPr>
        <w:t>6</w:t>
      </w:r>
      <w:r w:rsidRPr="006F7558">
        <w:rPr>
          <w:rFonts w:ascii="Arial" w:hAnsi="Arial" w:cs="Arial"/>
        </w:rPr>
        <w:t xml:space="preserve">.1 </w:t>
      </w:r>
      <w:r w:rsidR="00BF744C">
        <w:rPr>
          <w:rFonts w:ascii="Arial" w:hAnsi="Arial" w:cs="Arial"/>
        </w:rPr>
        <w:t>Full council</w:t>
      </w:r>
      <w:r w:rsidRPr="006F7558">
        <w:rPr>
          <w:rFonts w:ascii="Arial" w:hAnsi="Arial" w:cs="Arial"/>
        </w:rPr>
        <w:t xml:space="preserve"> will determine the maximum periods for which funds may prudently be committed so as not to compromise liquidity. </w:t>
      </w:r>
    </w:p>
    <w:p w14:paraId="72909780" w14:textId="77777777" w:rsidR="000F3D5B" w:rsidRPr="006F7558" w:rsidRDefault="000F3D5B" w:rsidP="006F7558">
      <w:pPr>
        <w:rPr>
          <w:rFonts w:ascii="Arial" w:hAnsi="Arial" w:cs="Arial"/>
        </w:rPr>
      </w:pPr>
    </w:p>
    <w:p w14:paraId="23735347" w14:textId="640DD822" w:rsidR="006F7558" w:rsidRDefault="006F7558" w:rsidP="006F7558">
      <w:pPr>
        <w:rPr>
          <w:rFonts w:ascii="Arial" w:hAnsi="Arial" w:cs="Arial"/>
        </w:rPr>
      </w:pPr>
      <w:r>
        <w:rPr>
          <w:rFonts w:ascii="Arial" w:hAnsi="Arial" w:cs="Arial"/>
        </w:rPr>
        <w:t>6</w:t>
      </w:r>
      <w:r w:rsidRPr="006F7558">
        <w:rPr>
          <w:rFonts w:ascii="Arial" w:hAnsi="Arial" w:cs="Arial"/>
        </w:rPr>
        <w:t xml:space="preserve">.2 Investments will be regarded as commencing on the date the commitment to invest is entered into rather than the date on which the funds are paid over to the counterparty. </w:t>
      </w:r>
    </w:p>
    <w:p w14:paraId="61D5B2DC" w14:textId="77777777" w:rsidR="00530CE2" w:rsidRPr="006F7558" w:rsidRDefault="00530CE2" w:rsidP="006F7558">
      <w:pPr>
        <w:rPr>
          <w:rFonts w:ascii="Arial" w:hAnsi="Arial" w:cs="Arial"/>
        </w:rPr>
      </w:pPr>
    </w:p>
    <w:p w14:paraId="1A4E8D55" w14:textId="0EB5739B" w:rsidR="006F7558" w:rsidRDefault="006F7558" w:rsidP="006F7558">
      <w:pPr>
        <w:rPr>
          <w:rFonts w:ascii="Arial" w:hAnsi="Arial" w:cs="Arial"/>
          <w:b/>
          <w:bCs/>
        </w:rPr>
      </w:pPr>
      <w:r>
        <w:rPr>
          <w:rFonts w:ascii="Arial" w:hAnsi="Arial" w:cs="Arial"/>
          <w:b/>
          <w:bCs/>
        </w:rPr>
        <w:t>7</w:t>
      </w:r>
      <w:r w:rsidRPr="006F7558">
        <w:rPr>
          <w:rFonts w:ascii="Arial" w:hAnsi="Arial" w:cs="Arial"/>
          <w:b/>
          <w:bCs/>
        </w:rPr>
        <w:t xml:space="preserve">. Long Term Investments </w:t>
      </w:r>
    </w:p>
    <w:p w14:paraId="2DE79868" w14:textId="77777777" w:rsidR="00530CE2" w:rsidRPr="006F7558" w:rsidRDefault="00530CE2" w:rsidP="006F7558">
      <w:pPr>
        <w:rPr>
          <w:rFonts w:ascii="Arial" w:hAnsi="Arial" w:cs="Arial"/>
        </w:rPr>
      </w:pPr>
    </w:p>
    <w:p w14:paraId="5290B4BE" w14:textId="1F1D0528" w:rsidR="006F7558" w:rsidRPr="006F7558" w:rsidRDefault="006F7558" w:rsidP="006F7558">
      <w:pPr>
        <w:rPr>
          <w:rFonts w:ascii="Arial" w:hAnsi="Arial" w:cs="Arial"/>
        </w:rPr>
      </w:pPr>
      <w:r>
        <w:rPr>
          <w:rFonts w:ascii="Arial" w:hAnsi="Arial" w:cs="Arial"/>
        </w:rPr>
        <w:t>7</w:t>
      </w:r>
      <w:r w:rsidRPr="006F7558">
        <w:rPr>
          <w:rFonts w:ascii="Arial" w:hAnsi="Arial" w:cs="Arial"/>
        </w:rPr>
        <w:t xml:space="preserve">.1 Long Term Investments are defined in the MHCLG Guidance. </w:t>
      </w:r>
    </w:p>
    <w:p w14:paraId="7824A6C8" w14:textId="50FF2462" w:rsidR="006F7558" w:rsidRDefault="006F7558" w:rsidP="006F7558">
      <w:pPr>
        <w:rPr>
          <w:rFonts w:ascii="Arial" w:hAnsi="Arial" w:cs="Arial"/>
        </w:rPr>
      </w:pPr>
      <w:r>
        <w:rPr>
          <w:rFonts w:ascii="Arial" w:hAnsi="Arial" w:cs="Arial"/>
        </w:rPr>
        <w:lastRenderedPageBreak/>
        <w:t>7</w:t>
      </w:r>
      <w:r w:rsidRPr="006F7558">
        <w:rPr>
          <w:rFonts w:ascii="Arial" w:hAnsi="Arial" w:cs="Arial"/>
        </w:rPr>
        <w:t>.2 The Council does not currently hold any funds in long term treasury investments, and none are envisaged as being taken out.</w:t>
      </w:r>
    </w:p>
    <w:p w14:paraId="2DA5EADD" w14:textId="77777777" w:rsidR="00114E19" w:rsidRPr="00427BF1" w:rsidRDefault="00114E19" w:rsidP="00114E19">
      <w:pPr>
        <w:rPr>
          <w:rFonts w:ascii="Arial" w:hAnsi="Arial" w:cs="Arial"/>
        </w:rPr>
      </w:pPr>
    </w:p>
    <w:p w14:paraId="512FF4BB" w14:textId="5DF1177C" w:rsidR="00114E19" w:rsidRDefault="006F7558" w:rsidP="00114E19">
      <w:pPr>
        <w:rPr>
          <w:rFonts w:ascii="Arial" w:hAnsi="Arial" w:cs="Arial"/>
          <w:b/>
          <w:bCs/>
        </w:rPr>
      </w:pPr>
      <w:r>
        <w:rPr>
          <w:rFonts w:ascii="Arial" w:hAnsi="Arial" w:cs="Arial"/>
          <w:b/>
          <w:bCs/>
        </w:rPr>
        <w:t>8</w:t>
      </w:r>
      <w:r w:rsidR="00114E19" w:rsidRPr="00427BF1">
        <w:rPr>
          <w:rFonts w:ascii="Arial" w:hAnsi="Arial" w:cs="Arial"/>
          <w:b/>
          <w:bCs/>
        </w:rPr>
        <w:t>. Banking Arrangements</w:t>
      </w:r>
    </w:p>
    <w:p w14:paraId="793B804D" w14:textId="77777777" w:rsidR="00E77EAE" w:rsidRPr="00427BF1" w:rsidRDefault="00E77EAE" w:rsidP="00114E19">
      <w:pPr>
        <w:rPr>
          <w:rFonts w:ascii="Arial" w:hAnsi="Arial" w:cs="Arial"/>
          <w:b/>
          <w:bCs/>
        </w:rPr>
      </w:pPr>
    </w:p>
    <w:p w14:paraId="37CC789C" w14:textId="0E0AC367" w:rsidR="00114E19" w:rsidRPr="00427BF1" w:rsidRDefault="006F7558" w:rsidP="00114E19">
      <w:pPr>
        <w:rPr>
          <w:rFonts w:ascii="Arial" w:hAnsi="Arial" w:cs="Arial"/>
        </w:rPr>
      </w:pPr>
      <w:r>
        <w:rPr>
          <w:rFonts w:ascii="Arial" w:hAnsi="Arial" w:cs="Arial"/>
        </w:rPr>
        <w:t>8</w:t>
      </w:r>
      <w:r w:rsidR="00114E19" w:rsidRPr="00427BF1">
        <w:rPr>
          <w:rFonts w:ascii="Arial" w:hAnsi="Arial" w:cs="Arial"/>
        </w:rPr>
        <w:t>.1 The Council holds:</w:t>
      </w:r>
    </w:p>
    <w:p w14:paraId="3A3BC7DF" w14:textId="77777777" w:rsidR="00114E19" w:rsidRDefault="00114E19" w:rsidP="00114E19">
      <w:pPr>
        <w:numPr>
          <w:ilvl w:val="0"/>
          <w:numId w:val="59"/>
        </w:numPr>
        <w:rPr>
          <w:rFonts w:ascii="Arial" w:hAnsi="Arial" w:cs="Arial"/>
        </w:rPr>
      </w:pPr>
      <w:r w:rsidRPr="00427BF1">
        <w:rPr>
          <w:rFonts w:ascii="Arial" w:hAnsi="Arial" w:cs="Arial"/>
        </w:rPr>
        <w:t>Lloyds Bank Current Account (high street access).</w:t>
      </w:r>
    </w:p>
    <w:p w14:paraId="036CCE93" w14:textId="6F045A49" w:rsidR="002243F8" w:rsidRPr="002243F8" w:rsidRDefault="002243F8" w:rsidP="002243F8">
      <w:pPr>
        <w:numPr>
          <w:ilvl w:val="0"/>
          <w:numId w:val="59"/>
        </w:numPr>
        <w:rPr>
          <w:rFonts w:ascii="Arial" w:hAnsi="Arial" w:cs="Arial"/>
        </w:rPr>
      </w:pPr>
      <w:r w:rsidRPr="00427BF1">
        <w:rPr>
          <w:rFonts w:ascii="Arial" w:hAnsi="Arial" w:cs="Arial"/>
        </w:rPr>
        <w:t xml:space="preserve">Lloyds Bank </w:t>
      </w:r>
      <w:r>
        <w:rPr>
          <w:rFonts w:ascii="Arial" w:hAnsi="Arial" w:cs="Arial"/>
        </w:rPr>
        <w:t>Savings</w:t>
      </w:r>
      <w:r w:rsidRPr="00427BF1">
        <w:rPr>
          <w:rFonts w:ascii="Arial" w:hAnsi="Arial" w:cs="Arial"/>
        </w:rPr>
        <w:t xml:space="preserve"> Account (</w:t>
      </w:r>
      <w:r>
        <w:rPr>
          <w:rFonts w:ascii="Arial" w:hAnsi="Arial" w:cs="Arial"/>
        </w:rPr>
        <w:t>online</w:t>
      </w:r>
      <w:r w:rsidRPr="00427BF1">
        <w:rPr>
          <w:rFonts w:ascii="Arial" w:hAnsi="Arial" w:cs="Arial"/>
        </w:rPr>
        <w:t xml:space="preserve"> access).</w:t>
      </w:r>
    </w:p>
    <w:p w14:paraId="08A35D10" w14:textId="53B295D3" w:rsidR="00C73668" w:rsidRPr="00427BF1" w:rsidRDefault="00C73668" w:rsidP="00C73668">
      <w:pPr>
        <w:numPr>
          <w:ilvl w:val="0"/>
          <w:numId w:val="59"/>
        </w:numPr>
        <w:rPr>
          <w:rFonts w:ascii="Arial" w:hAnsi="Arial" w:cs="Arial"/>
        </w:rPr>
      </w:pPr>
      <w:r>
        <w:rPr>
          <w:rFonts w:ascii="Arial" w:hAnsi="Arial" w:cs="Arial"/>
        </w:rPr>
        <w:t>Unity Trust</w:t>
      </w:r>
      <w:r w:rsidRPr="00427BF1">
        <w:rPr>
          <w:rFonts w:ascii="Arial" w:hAnsi="Arial" w:cs="Arial"/>
        </w:rPr>
        <w:t xml:space="preserve"> Current Account (</w:t>
      </w:r>
      <w:r w:rsidR="00571B13">
        <w:rPr>
          <w:rFonts w:ascii="Arial" w:hAnsi="Arial" w:cs="Arial"/>
        </w:rPr>
        <w:t>online</w:t>
      </w:r>
      <w:r w:rsidRPr="00427BF1">
        <w:rPr>
          <w:rFonts w:ascii="Arial" w:hAnsi="Arial" w:cs="Arial"/>
        </w:rPr>
        <w:t xml:space="preserve"> access).</w:t>
      </w:r>
    </w:p>
    <w:p w14:paraId="226F8FA1" w14:textId="77777777" w:rsidR="00114E19" w:rsidRDefault="00114E19" w:rsidP="00114E19">
      <w:pPr>
        <w:numPr>
          <w:ilvl w:val="0"/>
          <w:numId w:val="59"/>
        </w:numPr>
        <w:rPr>
          <w:rFonts w:ascii="Arial" w:hAnsi="Arial" w:cs="Arial"/>
        </w:rPr>
      </w:pPr>
      <w:r w:rsidRPr="00427BF1">
        <w:rPr>
          <w:rFonts w:ascii="Arial" w:hAnsi="Arial" w:cs="Arial"/>
        </w:rPr>
        <w:t>CCLA Public Sector Deposit Fund (investment reserve).</w:t>
      </w:r>
    </w:p>
    <w:p w14:paraId="4FB3B869" w14:textId="77777777" w:rsidR="00571B13" w:rsidRPr="00427BF1" w:rsidRDefault="00571B13" w:rsidP="00571B13">
      <w:pPr>
        <w:ind w:left="720"/>
        <w:rPr>
          <w:rFonts w:ascii="Arial" w:hAnsi="Arial" w:cs="Arial"/>
        </w:rPr>
      </w:pPr>
    </w:p>
    <w:p w14:paraId="2CE5D042" w14:textId="06C8A997" w:rsidR="00114E19" w:rsidRDefault="006F7558" w:rsidP="00114E19">
      <w:pPr>
        <w:rPr>
          <w:rFonts w:ascii="Arial" w:hAnsi="Arial" w:cs="Arial"/>
        </w:rPr>
      </w:pPr>
      <w:r>
        <w:rPr>
          <w:rFonts w:ascii="Arial" w:hAnsi="Arial" w:cs="Arial"/>
        </w:rPr>
        <w:t>8</w:t>
      </w:r>
      <w:r w:rsidR="00114E19" w:rsidRPr="00427BF1">
        <w:rPr>
          <w:rFonts w:ascii="Arial" w:hAnsi="Arial" w:cs="Arial"/>
        </w:rPr>
        <w:t xml:space="preserve">.2 </w:t>
      </w:r>
      <w:r w:rsidR="002243F8" w:rsidRPr="004A019A">
        <w:rPr>
          <w:rFonts w:ascii="Arial" w:hAnsi="Arial" w:cs="Arial"/>
        </w:rPr>
        <w:t>Our main</w:t>
      </w:r>
      <w:r w:rsidR="00114E19" w:rsidRPr="00427BF1">
        <w:rPr>
          <w:rFonts w:ascii="Arial" w:hAnsi="Arial" w:cs="Arial"/>
        </w:rPr>
        <w:t xml:space="preserve"> </w:t>
      </w:r>
      <w:r w:rsidR="002243F8" w:rsidRPr="004A019A">
        <w:rPr>
          <w:rFonts w:ascii="Arial" w:hAnsi="Arial" w:cs="Arial"/>
        </w:rPr>
        <w:t>day</w:t>
      </w:r>
      <w:r w:rsidR="002243F8">
        <w:rPr>
          <w:rFonts w:ascii="Arial" w:hAnsi="Arial" w:cs="Arial"/>
        </w:rPr>
        <w:t xml:space="preserve"> to day banking will be with Unity Trust </w:t>
      </w:r>
      <w:r w:rsidR="003E4294">
        <w:rPr>
          <w:rFonts w:ascii="Arial" w:hAnsi="Arial" w:cs="Arial"/>
        </w:rPr>
        <w:t xml:space="preserve">and the Clerk </w:t>
      </w:r>
      <w:r w:rsidR="00F352E3">
        <w:rPr>
          <w:rFonts w:ascii="Arial" w:hAnsi="Arial" w:cs="Arial"/>
        </w:rPr>
        <w:t xml:space="preserve">will </w:t>
      </w:r>
      <w:r w:rsidR="003E4294">
        <w:rPr>
          <w:rFonts w:ascii="Arial" w:hAnsi="Arial" w:cs="Arial"/>
        </w:rPr>
        <w:t>m</w:t>
      </w:r>
      <w:r w:rsidR="00114E19" w:rsidRPr="00427BF1">
        <w:rPr>
          <w:rFonts w:ascii="Arial" w:hAnsi="Arial" w:cs="Arial"/>
        </w:rPr>
        <w:t>aintain a balance of</w:t>
      </w:r>
      <w:r w:rsidR="00D52598">
        <w:rPr>
          <w:rFonts w:ascii="Arial" w:hAnsi="Arial" w:cs="Arial"/>
        </w:rPr>
        <w:t xml:space="preserve"> £</w:t>
      </w:r>
      <w:r w:rsidR="00EF76A3">
        <w:rPr>
          <w:rFonts w:ascii="Arial" w:hAnsi="Arial" w:cs="Arial"/>
        </w:rPr>
        <w:t>7500 - £</w:t>
      </w:r>
      <w:r w:rsidR="00CC5E1D">
        <w:rPr>
          <w:rFonts w:ascii="Arial" w:hAnsi="Arial" w:cs="Arial"/>
        </w:rPr>
        <w:t xml:space="preserve">50,000, while </w:t>
      </w:r>
      <w:r w:rsidR="003601E7" w:rsidRPr="00615632">
        <w:rPr>
          <w:rFonts w:ascii="Arial" w:hAnsi="Arial" w:cs="Arial"/>
        </w:rPr>
        <w:t xml:space="preserve">CCLA will </w:t>
      </w:r>
      <w:r w:rsidR="009369C0" w:rsidRPr="00615632">
        <w:rPr>
          <w:rFonts w:ascii="Arial" w:hAnsi="Arial" w:cs="Arial"/>
        </w:rPr>
        <w:t xml:space="preserve">hold amount in </w:t>
      </w:r>
      <w:r w:rsidR="003601E7" w:rsidRPr="00615632">
        <w:rPr>
          <w:rFonts w:ascii="Arial" w:hAnsi="Arial" w:cs="Arial"/>
        </w:rPr>
        <w:t>ear marked reserves and 75% of our general reserves due delayed transfers</w:t>
      </w:r>
      <w:r w:rsidR="009369C0" w:rsidRPr="00615632">
        <w:rPr>
          <w:rFonts w:ascii="Arial" w:hAnsi="Arial" w:cs="Arial"/>
        </w:rPr>
        <w:t xml:space="preserve">. </w:t>
      </w:r>
      <w:r w:rsidR="00CC5E1D" w:rsidRPr="00615632">
        <w:rPr>
          <w:rFonts w:ascii="Arial" w:hAnsi="Arial" w:cs="Arial"/>
        </w:rPr>
        <w:t xml:space="preserve">Any surplus will be held in Lloyds Savings Account </w:t>
      </w:r>
      <w:r w:rsidR="00BD1D1A" w:rsidRPr="00615632">
        <w:rPr>
          <w:rFonts w:ascii="Arial" w:hAnsi="Arial" w:cs="Arial"/>
        </w:rPr>
        <w:t>with instant access</w:t>
      </w:r>
      <w:r w:rsidR="00114E19" w:rsidRPr="00427BF1">
        <w:rPr>
          <w:rFonts w:ascii="Arial" w:hAnsi="Arial" w:cs="Arial"/>
        </w:rPr>
        <w:t>, allowing operational liquidity while limiting exposure.</w:t>
      </w:r>
      <w:r w:rsidR="003E4294">
        <w:rPr>
          <w:rFonts w:ascii="Arial" w:hAnsi="Arial" w:cs="Arial"/>
        </w:rPr>
        <w:t xml:space="preserve"> </w:t>
      </w:r>
    </w:p>
    <w:p w14:paraId="1E3C5C7A" w14:textId="77777777" w:rsidR="002243F8" w:rsidRPr="00427BF1" w:rsidRDefault="002243F8" w:rsidP="00114E19">
      <w:pPr>
        <w:rPr>
          <w:rFonts w:ascii="Arial" w:hAnsi="Arial" w:cs="Arial"/>
        </w:rPr>
      </w:pPr>
    </w:p>
    <w:p w14:paraId="0773335F" w14:textId="7A80D7B0" w:rsidR="00114E19" w:rsidRDefault="006F7558" w:rsidP="00114E19">
      <w:pPr>
        <w:rPr>
          <w:rFonts w:ascii="Arial" w:hAnsi="Arial" w:cs="Arial"/>
        </w:rPr>
      </w:pPr>
      <w:r>
        <w:rPr>
          <w:rFonts w:ascii="Arial" w:hAnsi="Arial" w:cs="Arial"/>
        </w:rPr>
        <w:t>8</w:t>
      </w:r>
      <w:r w:rsidR="00114E19" w:rsidRPr="00427BF1">
        <w:rPr>
          <w:rFonts w:ascii="Arial" w:hAnsi="Arial" w:cs="Arial"/>
        </w:rPr>
        <w:t>.3 Bank mandates and signatories will be reviewed annually. Online banking is permitted with dual authorisation and appropriate controls.</w:t>
      </w:r>
    </w:p>
    <w:p w14:paraId="00A2A76A" w14:textId="77777777" w:rsidR="002243F8" w:rsidRPr="00427BF1" w:rsidRDefault="002243F8" w:rsidP="00114E19">
      <w:pPr>
        <w:rPr>
          <w:rFonts w:ascii="Arial" w:hAnsi="Arial" w:cs="Arial"/>
        </w:rPr>
      </w:pPr>
    </w:p>
    <w:p w14:paraId="69866A3F" w14:textId="6485E185" w:rsidR="00114E19" w:rsidRPr="00427BF1" w:rsidRDefault="006F7558" w:rsidP="00114E19">
      <w:pPr>
        <w:rPr>
          <w:rFonts w:ascii="Arial" w:hAnsi="Arial" w:cs="Arial"/>
        </w:rPr>
      </w:pPr>
      <w:r>
        <w:rPr>
          <w:rFonts w:ascii="Arial" w:hAnsi="Arial" w:cs="Arial"/>
        </w:rPr>
        <w:t>8</w:t>
      </w:r>
      <w:r w:rsidR="00114E19" w:rsidRPr="00427BF1">
        <w:rPr>
          <w:rFonts w:ascii="Arial" w:hAnsi="Arial" w:cs="Arial"/>
        </w:rPr>
        <w:t>.4 The Council will periodically review its banking provider based on service level, charges, ethical credentials, and FSCS protection.</w:t>
      </w:r>
    </w:p>
    <w:p w14:paraId="64A6EF91" w14:textId="77777777" w:rsidR="00114E19" w:rsidRPr="00427BF1" w:rsidRDefault="00114E19" w:rsidP="00114E19">
      <w:pPr>
        <w:rPr>
          <w:rFonts w:ascii="Arial" w:hAnsi="Arial" w:cs="Arial"/>
        </w:rPr>
      </w:pPr>
    </w:p>
    <w:p w14:paraId="7341711A" w14:textId="04AF866B" w:rsidR="00114E19" w:rsidRDefault="006F7558" w:rsidP="00114E19">
      <w:pPr>
        <w:rPr>
          <w:rFonts w:ascii="Arial" w:hAnsi="Arial" w:cs="Arial"/>
          <w:b/>
          <w:bCs/>
        </w:rPr>
      </w:pPr>
      <w:r>
        <w:rPr>
          <w:rFonts w:ascii="Arial" w:hAnsi="Arial" w:cs="Arial"/>
          <w:b/>
          <w:bCs/>
        </w:rPr>
        <w:t>9</w:t>
      </w:r>
      <w:r w:rsidR="00114E19" w:rsidRPr="00427BF1">
        <w:rPr>
          <w:rFonts w:ascii="Arial" w:hAnsi="Arial" w:cs="Arial"/>
          <w:b/>
          <w:bCs/>
        </w:rPr>
        <w:t>. Credit Risk and Diversification</w:t>
      </w:r>
    </w:p>
    <w:p w14:paraId="153D6AC8" w14:textId="77777777" w:rsidR="003324F9" w:rsidRDefault="003324F9" w:rsidP="00114E19">
      <w:pPr>
        <w:rPr>
          <w:rFonts w:ascii="Arial" w:hAnsi="Arial" w:cs="Arial"/>
          <w:b/>
          <w:bCs/>
        </w:rPr>
      </w:pPr>
    </w:p>
    <w:p w14:paraId="2758979A" w14:textId="2D9E8F8D" w:rsidR="00FA0514" w:rsidRDefault="00FA0514" w:rsidP="00114E19">
      <w:pPr>
        <w:rPr>
          <w:rFonts w:ascii="Arial" w:hAnsi="Arial" w:cs="Arial"/>
        </w:rPr>
      </w:pPr>
      <w:r>
        <w:rPr>
          <w:rFonts w:ascii="Arial" w:hAnsi="Arial" w:cs="Arial"/>
        </w:rPr>
        <w:t>9</w:t>
      </w:r>
      <w:r w:rsidRPr="00FA0514">
        <w:rPr>
          <w:rFonts w:ascii="Arial" w:hAnsi="Arial" w:cs="Arial"/>
        </w:rPr>
        <w:t>.1</w:t>
      </w:r>
      <w:r w:rsidRPr="00FA0514">
        <w:rPr>
          <w:rFonts w:ascii="Arial" w:hAnsi="Arial" w:cs="Arial"/>
          <w:b/>
          <w:bCs/>
        </w:rPr>
        <w:t xml:space="preserve"> </w:t>
      </w:r>
      <w:r w:rsidRPr="00FA0514">
        <w:rPr>
          <w:rFonts w:ascii="Arial" w:hAnsi="Arial" w:cs="Arial"/>
        </w:rPr>
        <w:t>The accounts held by Rugeley Town Council ensure that financial liability is spread across different financial institutions. The Town Council is mindful of the requirements of the FCSC regarding the £85,000 limit in individual institutions but is also aware that annual income of the Town Council is close to income of £400k per year.</w:t>
      </w:r>
    </w:p>
    <w:p w14:paraId="6D4EF516" w14:textId="77777777" w:rsidR="003324F9" w:rsidRPr="00427BF1" w:rsidRDefault="003324F9" w:rsidP="00114E19">
      <w:pPr>
        <w:rPr>
          <w:rFonts w:ascii="Arial" w:hAnsi="Arial" w:cs="Arial"/>
          <w:b/>
          <w:bCs/>
        </w:rPr>
      </w:pPr>
    </w:p>
    <w:p w14:paraId="309CF413" w14:textId="139DEEC8" w:rsidR="00114E19" w:rsidRPr="00427BF1" w:rsidRDefault="006F7558" w:rsidP="00114E19">
      <w:pPr>
        <w:rPr>
          <w:rFonts w:ascii="Arial" w:hAnsi="Arial" w:cs="Arial"/>
        </w:rPr>
      </w:pPr>
      <w:r>
        <w:rPr>
          <w:rFonts w:ascii="Arial" w:hAnsi="Arial" w:cs="Arial"/>
        </w:rPr>
        <w:t>9</w:t>
      </w:r>
      <w:r w:rsidR="00114E19" w:rsidRPr="00427BF1">
        <w:rPr>
          <w:rFonts w:ascii="Arial" w:hAnsi="Arial" w:cs="Arial"/>
        </w:rPr>
        <w:t>.</w:t>
      </w:r>
      <w:r w:rsidR="00FA0514">
        <w:rPr>
          <w:rFonts w:ascii="Arial" w:hAnsi="Arial" w:cs="Arial"/>
        </w:rPr>
        <w:t>2</w:t>
      </w:r>
      <w:r w:rsidR="00114E19" w:rsidRPr="00427BF1">
        <w:rPr>
          <w:rFonts w:ascii="Arial" w:hAnsi="Arial" w:cs="Arial"/>
        </w:rPr>
        <w:t xml:space="preserve"> To minimise risk:</w:t>
      </w:r>
    </w:p>
    <w:p w14:paraId="104C39AC" w14:textId="77777777" w:rsidR="00114E19" w:rsidRPr="00427BF1" w:rsidRDefault="00114E19" w:rsidP="00114E19">
      <w:pPr>
        <w:numPr>
          <w:ilvl w:val="0"/>
          <w:numId w:val="60"/>
        </w:numPr>
        <w:rPr>
          <w:rFonts w:ascii="Arial" w:hAnsi="Arial" w:cs="Arial"/>
        </w:rPr>
      </w:pPr>
      <w:r w:rsidRPr="00427BF1">
        <w:rPr>
          <w:rFonts w:ascii="Arial" w:hAnsi="Arial" w:cs="Arial"/>
        </w:rPr>
        <w:t>No more than £85,000 will be invested in any single institution, where FSCS protection is limited.</w:t>
      </w:r>
    </w:p>
    <w:p w14:paraId="574D3ADF" w14:textId="76B20160" w:rsidR="00114E19" w:rsidRDefault="00BD0DC5" w:rsidP="00114E19">
      <w:pPr>
        <w:numPr>
          <w:ilvl w:val="0"/>
          <w:numId w:val="60"/>
        </w:numPr>
        <w:rPr>
          <w:rFonts w:ascii="Arial" w:hAnsi="Arial" w:cs="Arial"/>
        </w:rPr>
      </w:pPr>
      <w:r>
        <w:rPr>
          <w:rFonts w:ascii="Arial" w:hAnsi="Arial" w:cs="Arial"/>
        </w:rPr>
        <w:t>The Clerk</w:t>
      </w:r>
      <w:r w:rsidR="00114E19" w:rsidRPr="00427BF1">
        <w:rPr>
          <w:rFonts w:ascii="Arial" w:hAnsi="Arial" w:cs="Arial"/>
        </w:rPr>
        <w:t xml:space="preserve"> will ensure funds are spread across eligible institutions with high credit ratings.</w:t>
      </w:r>
    </w:p>
    <w:p w14:paraId="7A9B4C74" w14:textId="77777777" w:rsidR="00BD0DC5" w:rsidRPr="00427BF1" w:rsidRDefault="00BD0DC5" w:rsidP="00BD0DC5">
      <w:pPr>
        <w:ind w:left="720"/>
        <w:rPr>
          <w:rFonts w:ascii="Arial" w:hAnsi="Arial" w:cs="Arial"/>
        </w:rPr>
      </w:pPr>
    </w:p>
    <w:p w14:paraId="48D8707A" w14:textId="4B4BFC28" w:rsidR="00114E19" w:rsidRPr="00427BF1" w:rsidRDefault="006F7558" w:rsidP="00114E19">
      <w:pPr>
        <w:rPr>
          <w:rFonts w:ascii="Arial" w:hAnsi="Arial" w:cs="Arial"/>
        </w:rPr>
      </w:pPr>
      <w:r>
        <w:rPr>
          <w:rFonts w:ascii="Arial" w:hAnsi="Arial" w:cs="Arial"/>
        </w:rPr>
        <w:t>9</w:t>
      </w:r>
      <w:r w:rsidR="00114E19" w:rsidRPr="00427BF1">
        <w:rPr>
          <w:rFonts w:ascii="Arial" w:hAnsi="Arial" w:cs="Arial"/>
        </w:rPr>
        <w:t>.</w:t>
      </w:r>
      <w:r w:rsidR="00FA0514">
        <w:rPr>
          <w:rFonts w:ascii="Arial" w:hAnsi="Arial" w:cs="Arial"/>
        </w:rPr>
        <w:t>3</w:t>
      </w:r>
      <w:r w:rsidR="00114E19" w:rsidRPr="00427BF1">
        <w:rPr>
          <w:rFonts w:ascii="Arial" w:hAnsi="Arial" w:cs="Arial"/>
        </w:rPr>
        <w:t xml:space="preserve"> Any significant downgrade in credit rating will be reported immediately to the </w:t>
      </w:r>
      <w:r w:rsidR="00BD0DC5">
        <w:rPr>
          <w:rFonts w:ascii="Arial" w:hAnsi="Arial" w:cs="Arial"/>
        </w:rPr>
        <w:t>Full Council</w:t>
      </w:r>
      <w:r w:rsidR="00114E19" w:rsidRPr="00427BF1">
        <w:rPr>
          <w:rFonts w:ascii="Arial" w:hAnsi="Arial" w:cs="Arial"/>
        </w:rPr>
        <w:t>.</w:t>
      </w:r>
    </w:p>
    <w:p w14:paraId="325FCEA4" w14:textId="77777777" w:rsidR="00114E19" w:rsidRPr="00427BF1" w:rsidRDefault="00114E19" w:rsidP="00114E19">
      <w:pPr>
        <w:rPr>
          <w:rFonts w:ascii="Arial" w:hAnsi="Arial" w:cs="Arial"/>
        </w:rPr>
      </w:pPr>
    </w:p>
    <w:p w14:paraId="208726A6" w14:textId="209F24F1" w:rsidR="00114E19" w:rsidRDefault="006F7558" w:rsidP="00114E19">
      <w:pPr>
        <w:rPr>
          <w:rFonts w:ascii="Arial" w:hAnsi="Arial" w:cs="Arial"/>
          <w:b/>
          <w:bCs/>
        </w:rPr>
      </w:pPr>
      <w:r>
        <w:rPr>
          <w:rFonts w:ascii="Arial" w:hAnsi="Arial" w:cs="Arial"/>
          <w:b/>
          <w:bCs/>
        </w:rPr>
        <w:t>10</w:t>
      </w:r>
      <w:r w:rsidR="00114E19" w:rsidRPr="00427BF1">
        <w:rPr>
          <w:rFonts w:ascii="Arial" w:hAnsi="Arial" w:cs="Arial"/>
          <w:b/>
          <w:bCs/>
        </w:rPr>
        <w:t>. Ethical Considerations</w:t>
      </w:r>
    </w:p>
    <w:p w14:paraId="16640B99" w14:textId="77777777" w:rsidR="00BD0DC5" w:rsidRPr="00427BF1" w:rsidRDefault="00BD0DC5" w:rsidP="00114E19">
      <w:pPr>
        <w:rPr>
          <w:rFonts w:ascii="Arial" w:hAnsi="Arial" w:cs="Arial"/>
          <w:b/>
          <w:bCs/>
        </w:rPr>
      </w:pPr>
    </w:p>
    <w:p w14:paraId="7BE26333" w14:textId="77777777" w:rsidR="00114E19" w:rsidRPr="00427BF1" w:rsidRDefault="00114E19" w:rsidP="00114E19">
      <w:pPr>
        <w:rPr>
          <w:rFonts w:ascii="Arial" w:hAnsi="Arial" w:cs="Arial"/>
        </w:rPr>
      </w:pPr>
      <w:r w:rsidRPr="00427BF1">
        <w:rPr>
          <w:rFonts w:ascii="Arial" w:hAnsi="Arial" w:cs="Arial"/>
        </w:rPr>
        <w:t>The Council will, where practical, consider ethical banking providers that align with its environmental and social values.</w:t>
      </w:r>
    </w:p>
    <w:p w14:paraId="7E4FC3BC" w14:textId="77777777" w:rsidR="00DF4D22" w:rsidRDefault="00DF4D22" w:rsidP="00114E19">
      <w:pPr>
        <w:rPr>
          <w:rFonts w:ascii="Arial" w:hAnsi="Arial" w:cs="Arial"/>
        </w:rPr>
      </w:pPr>
    </w:p>
    <w:p w14:paraId="4835D6E7" w14:textId="7A8E1B69" w:rsidR="00114E19" w:rsidRDefault="00DF4D22" w:rsidP="00114E19">
      <w:pPr>
        <w:rPr>
          <w:rFonts w:ascii="Arial" w:hAnsi="Arial" w:cs="Arial"/>
          <w:b/>
          <w:bCs/>
        </w:rPr>
      </w:pPr>
      <w:r>
        <w:rPr>
          <w:rFonts w:ascii="Arial" w:hAnsi="Arial" w:cs="Arial"/>
          <w:b/>
          <w:bCs/>
        </w:rPr>
        <w:t>11</w:t>
      </w:r>
      <w:r w:rsidR="00114E19" w:rsidRPr="00427BF1">
        <w:rPr>
          <w:rFonts w:ascii="Arial" w:hAnsi="Arial" w:cs="Arial"/>
          <w:b/>
          <w:bCs/>
        </w:rPr>
        <w:t>. Liquidity and Reserves</w:t>
      </w:r>
    </w:p>
    <w:p w14:paraId="3951C1A6" w14:textId="77777777" w:rsidR="00EE7070" w:rsidRPr="00427BF1" w:rsidRDefault="00EE7070" w:rsidP="00114E19">
      <w:pPr>
        <w:rPr>
          <w:rFonts w:ascii="Arial" w:hAnsi="Arial" w:cs="Arial"/>
          <w:b/>
          <w:bCs/>
        </w:rPr>
      </w:pPr>
    </w:p>
    <w:p w14:paraId="5482383B" w14:textId="44988DA5" w:rsidR="00114E19" w:rsidRPr="00427BF1" w:rsidRDefault="00DF4D22" w:rsidP="00114E19">
      <w:pPr>
        <w:rPr>
          <w:rFonts w:ascii="Arial" w:hAnsi="Arial" w:cs="Arial"/>
        </w:rPr>
      </w:pPr>
      <w:r>
        <w:rPr>
          <w:rFonts w:ascii="Arial" w:hAnsi="Arial" w:cs="Arial"/>
        </w:rPr>
        <w:t>11</w:t>
      </w:r>
      <w:r w:rsidR="00114E19" w:rsidRPr="00427BF1">
        <w:rPr>
          <w:rFonts w:ascii="Arial" w:hAnsi="Arial" w:cs="Arial"/>
        </w:rPr>
        <w:t>.1 The Council will:</w:t>
      </w:r>
    </w:p>
    <w:p w14:paraId="22B400E2" w14:textId="24C8210C" w:rsidR="00114E19" w:rsidRPr="00427BF1" w:rsidRDefault="00114E19" w:rsidP="00114E19">
      <w:pPr>
        <w:numPr>
          <w:ilvl w:val="0"/>
          <w:numId w:val="61"/>
        </w:numPr>
        <w:rPr>
          <w:rFonts w:ascii="Arial" w:hAnsi="Arial" w:cs="Arial"/>
        </w:rPr>
      </w:pPr>
      <w:r w:rsidRPr="00427BF1">
        <w:rPr>
          <w:rFonts w:ascii="Arial" w:hAnsi="Arial" w:cs="Arial"/>
        </w:rPr>
        <w:t xml:space="preserve">Maintain a general reserve of approximately </w:t>
      </w:r>
      <w:r w:rsidR="00EE7070">
        <w:rPr>
          <w:rFonts w:ascii="Arial" w:hAnsi="Arial" w:cs="Arial"/>
        </w:rPr>
        <w:t>6 months</w:t>
      </w:r>
      <w:r w:rsidRPr="00427BF1">
        <w:rPr>
          <w:rFonts w:ascii="Arial" w:hAnsi="Arial" w:cs="Arial"/>
        </w:rPr>
        <w:t xml:space="preserve"> of annual net revenue expenditure.</w:t>
      </w:r>
    </w:p>
    <w:p w14:paraId="6E92A295" w14:textId="77777777" w:rsidR="00114E19" w:rsidRDefault="00114E19" w:rsidP="00114E19">
      <w:pPr>
        <w:numPr>
          <w:ilvl w:val="0"/>
          <w:numId w:val="61"/>
        </w:numPr>
        <w:rPr>
          <w:rFonts w:ascii="Arial" w:hAnsi="Arial" w:cs="Arial"/>
        </w:rPr>
      </w:pPr>
      <w:r w:rsidRPr="00427BF1">
        <w:rPr>
          <w:rFonts w:ascii="Arial" w:hAnsi="Arial" w:cs="Arial"/>
        </w:rPr>
        <w:lastRenderedPageBreak/>
        <w:t>Build capital and earmarked reserves for future needs and unexpected events.</w:t>
      </w:r>
    </w:p>
    <w:p w14:paraId="025A40DE" w14:textId="77777777" w:rsidR="004A019A" w:rsidRPr="00427BF1" w:rsidRDefault="004A019A" w:rsidP="004A019A">
      <w:pPr>
        <w:ind w:left="720"/>
        <w:rPr>
          <w:rFonts w:ascii="Arial" w:hAnsi="Arial" w:cs="Arial"/>
        </w:rPr>
      </w:pPr>
    </w:p>
    <w:p w14:paraId="0A742F16" w14:textId="1834B815" w:rsidR="00114E19" w:rsidRPr="00427BF1" w:rsidRDefault="00DF4D22" w:rsidP="00114E19">
      <w:pPr>
        <w:rPr>
          <w:rFonts w:ascii="Arial" w:hAnsi="Arial" w:cs="Arial"/>
        </w:rPr>
      </w:pPr>
      <w:r>
        <w:rPr>
          <w:rFonts w:ascii="Arial" w:hAnsi="Arial" w:cs="Arial"/>
        </w:rPr>
        <w:t>11</w:t>
      </w:r>
      <w:r w:rsidR="00114E19" w:rsidRPr="00427BF1">
        <w:rPr>
          <w:rFonts w:ascii="Arial" w:hAnsi="Arial" w:cs="Arial"/>
        </w:rPr>
        <w:t xml:space="preserve">.2 </w:t>
      </w:r>
      <w:r w:rsidR="00431FDD">
        <w:rPr>
          <w:rFonts w:ascii="Arial" w:hAnsi="Arial" w:cs="Arial"/>
        </w:rPr>
        <w:t>Full council</w:t>
      </w:r>
      <w:r w:rsidR="00114E19" w:rsidRPr="00427BF1">
        <w:rPr>
          <w:rFonts w:ascii="Arial" w:hAnsi="Arial" w:cs="Arial"/>
        </w:rPr>
        <w:t xml:space="preserve"> will oversee investment timing to avoid compromising liquidity.</w:t>
      </w:r>
    </w:p>
    <w:p w14:paraId="4A56BA21" w14:textId="77777777" w:rsidR="00114E19" w:rsidRPr="00427BF1" w:rsidRDefault="00114E19" w:rsidP="00114E19">
      <w:pPr>
        <w:rPr>
          <w:rFonts w:ascii="Arial" w:hAnsi="Arial" w:cs="Arial"/>
        </w:rPr>
      </w:pPr>
    </w:p>
    <w:p w14:paraId="7C2F62FE" w14:textId="17B16FF7" w:rsidR="00114E19" w:rsidRDefault="00530CE2" w:rsidP="00114E19">
      <w:pPr>
        <w:rPr>
          <w:rFonts w:ascii="Arial" w:hAnsi="Arial" w:cs="Arial"/>
          <w:b/>
          <w:bCs/>
        </w:rPr>
      </w:pPr>
      <w:r>
        <w:rPr>
          <w:rFonts w:ascii="Arial" w:hAnsi="Arial" w:cs="Arial"/>
          <w:b/>
          <w:bCs/>
        </w:rPr>
        <w:t>1</w:t>
      </w:r>
      <w:r w:rsidR="007C65FF">
        <w:rPr>
          <w:rFonts w:ascii="Arial" w:hAnsi="Arial" w:cs="Arial"/>
          <w:b/>
          <w:bCs/>
        </w:rPr>
        <w:t>2</w:t>
      </w:r>
      <w:r w:rsidR="00114E19" w:rsidRPr="00427BF1">
        <w:rPr>
          <w:rFonts w:ascii="Arial" w:hAnsi="Arial" w:cs="Arial"/>
          <w:b/>
          <w:bCs/>
        </w:rPr>
        <w:t>. Reporting and Review</w:t>
      </w:r>
    </w:p>
    <w:p w14:paraId="2C090CCB" w14:textId="77777777" w:rsidR="007C65FF" w:rsidRPr="00427BF1" w:rsidRDefault="007C65FF" w:rsidP="00114E19">
      <w:pPr>
        <w:rPr>
          <w:rFonts w:ascii="Arial" w:hAnsi="Arial" w:cs="Arial"/>
          <w:b/>
          <w:bCs/>
        </w:rPr>
      </w:pPr>
    </w:p>
    <w:p w14:paraId="40F5B6C4" w14:textId="48D35671" w:rsidR="00114E19" w:rsidRDefault="00530CE2" w:rsidP="00114E19">
      <w:pPr>
        <w:rPr>
          <w:rFonts w:ascii="Arial" w:hAnsi="Arial" w:cs="Arial"/>
        </w:rPr>
      </w:pPr>
      <w:r>
        <w:rPr>
          <w:rFonts w:ascii="Arial" w:hAnsi="Arial" w:cs="Arial"/>
        </w:rPr>
        <w:t>1</w:t>
      </w:r>
      <w:r w:rsidR="007C65FF">
        <w:rPr>
          <w:rFonts w:ascii="Arial" w:hAnsi="Arial" w:cs="Arial"/>
        </w:rPr>
        <w:t>2</w:t>
      </w:r>
      <w:r w:rsidR="00114E19" w:rsidRPr="00427BF1">
        <w:rPr>
          <w:rFonts w:ascii="Arial" w:hAnsi="Arial" w:cs="Arial"/>
        </w:rPr>
        <w:t xml:space="preserve">.1 The </w:t>
      </w:r>
      <w:r w:rsidR="007F406A">
        <w:rPr>
          <w:rFonts w:ascii="Arial" w:hAnsi="Arial" w:cs="Arial"/>
        </w:rPr>
        <w:t>Clerk</w:t>
      </w:r>
      <w:r w:rsidR="00114E19" w:rsidRPr="00427BF1">
        <w:rPr>
          <w:rFonts w:ascii="Arial" w:hAnsi="Arial" w:cs="Arial"/>
        </w:rPr>
        <w:t xml:space="preserve"> will report </w:t>
      </w:r>
      <w:r w:rsidR="007F406A">
        <w:rPr>
          <w:rFonts w:ascii="Arial" w:hAnsi="Arial" w:cs="Arial"/>
        </w:rPr>
        <w:t>monthly</w:t>
      </w:r>
      <w:r w:rsidR="00114E19" w:rsidRPr="00427BF1">
        <w:rPr>
          <w:rFonts w:ascii="Arial" w:hAnsi="Arial" w:cs="Arial"/>
        </w:rPr>
        <w:t xml:space="preserve"> to Full Council on investment performance and compliance</w:t>
      </w:r>
      <w:r w:rsidR="007F406A">
        <w:rPr>
          <w:rFonts w:ascii="Arial" w:hAnsi="Arial" w:cs="Arial"/>
        </w:rPr>
        <w:t xml:space="preserve"> </w:t>
      </w:r>
      <w:proofErr w:type="gramStart"/>
      <w:r w:rsidR="007F406A">
        <w:rPr>
          <w:rFonts w:ascii="Arial" w:hAnsi="Arial" w:cs="Arial"/>
        </w:rPr>
        <w:t>through the use of</w:t>
      </w:r>
      <w:proofErr w:type="gramEnd"/>
      <w:r w:rsidR="007F406A">
        <w:rPr>
          <w:rFonts w:ascii="Arial" w:hAnsi="Arial" w:cs="Arial"/>
        </w:rPr>
        <w:t xml:space="preserve"> bank reconciliations</w:t>
      </w:r>
      <w:r w:rsidR="00114E19" w:rsidRPr="00427BF1">
        <w:rPr>
          <w:rFonts w:ascii="Arial" w:hAnsi="Arial" w:cs="Arial"/>
        </w:rPr>
        <w:t>.</w:t>
      </w:r>
    </w:p>
    <w:p w14:paraId="223415F8" w14:textId="77777777" w:rsidR="00AB4BC3" w:rsidRPr="00427BF1" w:rsidRDefault="00AB4BC3" w:rsidP="00114E19">
      <w:pPr>
        <w:rPr>
          <w:rFonts w:ascii="Arial" w:hAnsi="Arial" w:cs="Arial"/>
        </w:rPr>
      </w:pPr>
    </w:p>
    <w:p w14:paraId="2D7146DC" w14:textId="205DE74D" w:rsidR="00114E19" w:rsidRPr="00427BF1" w:rsidRDefault="00AB4BC3" w:rsidP="00114E19">
      <w:pPr>
        <w:rPr>
          <w:rFonts w:ascii="Arial" w:hAnsi="Arial" w:cs="Arial"/>
        </w:rPr>
      </w:pPr>
      <w:r>
        <w:rPr>
          <w:rFonts w:ascii="Arial" w:hAnsi="Arial" w:cs="Arial"/>
        </w:rPr>
        <w:t>1</w:t>
      </w:r>
      <w:r w:rsidR="007C65FF">
        <w:rPr>
          <w:rFonts w:ascii="Arial" w:hAnsi="Arial" w:cs="Arial"/>
        </w:rPr>
        <w:t>2</w:t>
      </w:r>
      <w:r w:rsidR="00114E19" w:rsidRPr="00427BF1">
        <w:rPr>
          <w:rFonts w:ascii="Arial" w:hAnsi="Arial" w:cs="Arial"/>
        </w:rPr>
        <w:t>.2 This Strategy will be reviewed annually and updated as required by changes in legislation, guidance, or Council policy.</w:t>
      </w:r>
    </w:p>
    <w:p w14:paraId="6BF20081" w14:textId="52ABEEF6" w:rsidR="002912ED" w:rsidRDefault="002912ED" w:rsidP="00A27C52">
      <w:pPr>
        <w:rPr>
          <w:rFonts w:ascii="Arial" w:hAnsi="Arial" w:cs="Arial"/>
          <w:b/>
          <w:bCs/>
        </w:rPr>
      </w:pPr>
    </w:p>
    <w:p w14:paraId="752685C4" w14:textId="536781D8" w:rsidR="00040C56" w:rsidRPr="00A27C52" w:rsidRDefault="00040C56" w:rsidP="00A27C52">
      <w:pPr>
        <w:rPr>
          <w:rFonts w:ascii="Arial" w:hAnsi="Arial" w:cs="Arial"/>
          <w:b/>
          <w:bCs/>
        </w:rPr>
      </w:pPr>
    </w:p>
    <w:sectPr w:rsidR="00040C56" w:rsidRPr="00A27C52" w:rsidSect="007B7B85">
      <w:headerReference w:type="default" r:id="rId11"/>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FE6C2" w14:textId="77777777" w:rsidR="00497207" w:rsidRDefault="00497207" w:rsidP="00E77177">
      <w:r>
        <w:separator/>
      </w:r>
    </w:p>
  </w:endnote>
  <w:endnote w:type="continuationSeparator" w:id="0">
    <w:p w14:paraId="77C8AFA5" w14:textId="77777777" w:rsidR="00497207" w:rsidRDefault="00497207" w:rsidP="00E77177">
      <w:r>
        <w:continuationSeparator/>
      </w:r>
    </w:p>
  </w:endnote>
  <w:endnote w:type="continuationNotice" w:id="1">
    <w:p w14:paraId="599A256E" w14:textId="77777777" w:rsidR="00497207" w:rsidRDefault="00497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C96B" w14:textId="77777777" w:rsidR="00497207" w:rsidRDefault="00497207" w:rsidP="00E77177">
      <w:r>
        <w:separator/>
      </w:r>
    </w:p>
  </w:footnote>
  <w:footnote w:type="continuationSeparator" w:id="0">
    <w:p w14:paraId="7CB9E8EC" w14:textId="77777777" w:rsidR="00497207" w:rsidRDefault="00497207" w:rsidP="00E77177">
      <w:r>
        <w:continuationSeparator/>
      </w:r>
    </w:p>
  </w:footnote>
  <w:footnote w:type="continuationNotice" w:id="1">
    <w:p w14:paraId="6CF59AC8" w14:textId="77777777" w:rsidR="00497207" w:rsidRDefault="00497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7B73" w14:textId="44AE0F79" w:rsidR="00114E19" w:rsidRPr="00427BF1" w:rsidRDefault="00985C44" w:rsidP="00114E19">
    <w:pPr>
      <w:rPr>
        <w:rFonts w:ascii="Avenir Next LT Pro Demi" w:hAnsi="Avenir Next LT Pro Demi" w:cs="Aharoni"/>
        <w:b/>
        <w:bCs/>
        <w:color w:val="76923C" w:themeColor="accent3" w:themeShade="BF"/>
        <w:sz w:val="40"/>
        <w:szCs w:val="40"/>
      </w:rPr>
    </w:pPr>
    <w:r>
      <w:rPr>
        <w:noProof/>
      </w:rPr>
      <w:drawing>
        <wp:anchor distT="0" distB="0" distL="114300" distR="114300" simplePos="0" relativeHeight="251658241" behindDoc="0" locked="0" layoutInCell="1" allowOverlap="1" wp14:anchorId="4BF6F604" wp14:editId="4DE379D6">
          <wp:simplePos x="0" y="0"/>
          <wp:positionH relativeFrom="rightMargin">
            <wp:posOffset>145139</wp:posOffset>
          </wp:positionH>
          <wp:positionV relativeFrom="paragraph">
            <wp:posOffset>-239478</wp:posOffset>
          </wp:positionV>
          <wp:extent cx="779963" cy="842761"/>
          <wp:effectExtent l="0" t="0" r="1270" b="0"/>
          <wp:wrapNone/>
          <wp:docPr id="1060776539" name="Picture 106077653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963" cy="84276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093AC14" wp14:editId="5D0E171F">
          <wp:simplePos x="0" y="0"/>
          <wp:positionH relativeFrom="page">
            <wp:align>left</wp:align>
          </wp:positionH>
          <wp:positionV relativeFrom="paragraph">
            <wp:posOffset>-449498</wp:posOffset>
          </wp:positionV>
          <wp:extent cx="742950" cy="10672445"/>
          <wp:effectExtent l="0" t="0" r="0" b="0"/>
          <wp:wrapNone/>
          <wp:docPr id="1646929777" name="Picture 164692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42950" cy="10672445"/>
                  </a:xfrm>
                  <a:prstGeom prst="rect">
                    <a:avLst/>
                  </a:prstGeom>
                </pic:spPr>
              </pic:pic>
            </a:graphicData>
          </a:graphic>
          <wp14:sizeRelV relativeFrom="margin">
            <wp14:pctHeight>0</wp14:pctHeight>
          </wp14:sizeRelV>
        </wp:anchor>
      </w:drawing>
    </w:r>
    <w:r w:rsidR="00114E19" w:rsidRPr="00427BF1">
      <w:rPr>
        <w:rFonts w:ascii="Avenir Next LT Pro Demi" w:hAnsi="Avenir Next LT Pro Demi" w:cs="Aharoni"/>
        <w:b/>
        <w:bCs/>
        <w:color w:val="76923C" w:themeColor="accent3" w:themeShade="BF"/>
        <w:sz w:val="40"/>
        <w:szCs w:val="40"/>
      </w:rPr>
      <w:t>Banking and Investment Strategy 2025/26</w:t>
    </w:r>
  </w:p>
  <w:p w14:paraId="3FC07512" w14:textId="0F943B27" w:rsidR="006369BF" w:rsidRPr="00985C44" w:rsidRDefault="00EA45A2" w:rsidP="00985C44">
    <w:pPr>
      <w:rPr>
        <w:rFonts w:ascii="Avenir Next LT Pro Demi" w:hAnsi="Avenir Next LT Pro Demi" w:cs="Aharoni"/>
        <w:b/>
        <w:bCs/>
        <w:color w:val="76923C" w:themeColor="accent3" w:themeShade="BF"/>
        <w:sz w:val="12"/>
        <w:szCs w:val="12"/>
      </w:rPr>
    </w:pPr>
    <w:r>
      <w:rPr>
        <w:rFonts w:ascii="Avenir Next LT Pro Demi" w:hAnsi="Avenir Next LT Pro Demi" w:cs="Aharoni"/>
        <w:b/>
        <w:bCs/>
        <w:color w:val="76923C" w:themeColor="accent3" w:themeShade="BF"/>
        <w:sz w:val="40"/>
        <w:szCs w:val="40"/>
      </w:rPr>
      <w:t xml:space="preserve"> – </w:t>
    </w:r>
    <w:r w:rsidR="00985C44">
      <w:rPr>
        <w:rFonts w:ascii="Avenir Next LT Pro Demi" w:hAnsi="Avenir Next LT Pro Demi" w:cs="Aharoni"/>
        <w:b/>
        <w:bCs/>
        <w:color w:val="76923C" w:themeColor="accent3" w:themeShade="BF"/>
        <w:sz w:val="40"/>
        <w:szCs w:val="40"/>
      </w:rPr>
      <w:t>April</w:t>
    </w:r>
    <w:r>
      <w:rPr>
        <w:rFonts w:ascii="Avenir Next LT Pro Demi" w:hAnsi="Avenir Next LT Pro Demi" w:cs="Aharoni"/>
        <w:b/>
        <w:bCs/>
        <w:color w:val="76923C" w:themeColor="accent3" w:themeShade="BF"/>
        <w:sz w:val="40"/>
        <w:szCs w:val="4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CC9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F7BC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3"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12AB7"/>
    <w:multiLevelType w:val="multilevel"/>
    <w:tmpl w:val="F7B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80C49DA"/>
    <w:multiLevelType w:val="multilevel"/>
    <w:tmpl w:val="2B70C7B6"/>
    <w:lvl w:ilvl="0">
      <w:start w:val="1"/>
      <w:numFmt w:val="decimal"/>
      <w:lvlText w:val="%1."/>
      <w:lvlJc w:val="left"/>
      <w:pPr>
        <w:tabs>
          <w:tab w:val="num" w:pos="720"/>
        </w:tabs>
        <w:ind w:left="720" w:hanging="360"/>
      </w:pPr>
      <w:rPr>
        <w:rFonts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5"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CE401B5"/>
    <w:multiLevelType w:val="hybridMultilevel"/>
    <w:tmpl w:val="681A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750B0"/>
    <w:multiLevelType w:val="multilevel"/>
    <w:tmpl w:val="764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71286"/>
    <w:multiLevelType w:val="multilevel"/>
    <w:tmpl w:val="AA1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E4C49"/>
    <w:multiLevelType w:val="multilevel"/>
    <w:tmpl w:val="A2C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24"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5C62F9"/>
    <w:multiLevelType w:val="hybridMultilevel"/>
    <w:tmpl w:val="71E03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30"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1"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3"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6"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7"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9E25AA"/>
    <w:multiLevelType w:val="multilevel"/>
    <w:tmpl w:val="3430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4C577208"/>
    <w:multiLevelType w:val="multilevel"/>
    <w:tmpl w:val="C50CD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F176DB7"/>
    <w:multiLevelType w:val="hybridMultilevel"/>
    <w:tmpl w:val="B12C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4"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55"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6"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1E18F0"/>
    <w:multiLevelType w:val="multilevel"/>
    <w:tmpl w:val="EA3EF49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2C5731"/>
    <w:multiLevelType w:val="hybridMultilevel"/>
    <w:tmpl w:val="5EE4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56"/>
  </w:num>
  <w:num w:numId="2" w16cid:durableId="25957391">
    <w:abstractNumId w:val="5"/>
  </w:num>
  <w:num w:numId="3" w16cid:durableId="1402437528">
    <w:abstractNumId w:val="43"/>
  </w:num>
  <w:num w:numId="4" w16cid:durableId="556824546">
    <w:abstractNumId w:val="41"/>
  </w:num>
  <w:num w:numId="5" w16cid:durableId="1821731085">
    <w:abstractNumId w:val="49"/>
  </w:num>
  <w:num w:numId="6" w16cid:durableId="1367369895">
    <w:abstractNumId w:val="35"/>
  </w:num>
  <w:num w:numId="7" w16cid:durableId="252444799">
    <w:abstractNumId w:val="33"/>
  </w:num>
  <w:num w:numId="8" w16cid:durableId="184487454">
    <w:abstractNumId w:val="44"/>
  </w:num>
  <w:num w:numId="9" w16cid:durableId="506556697">
    <w:abstractNumId w:val="45"/>
  </w:num>
  <w:num w:numId="10" w16cid:durableId="1081950902">
    <w:abstractNumId w:val="31"/>
  </w:num>
  <w:num w:numId="11" w16cid:durableId="909583652">
    <w:abstractNumId w:val="52"/>
  </w:num>
  <w:num w:numId="12" w16cid:durableId="489370021">
    <w:abstractNumId w:val="21"/>
  </w:num>
  <w:num w:numId="13" w16cid:durableId="314800834">
    <w:abstractNumId w:val="28"/>
  </w:num>
  <w:num w:numId="14" w16cid:durableId="392310881">
    <w:abstractNumId w:val="36"/>
  </w:num>
  <w:num w:numId="15" w16cid:durableId="1528366613">
    <w:abstractNumId w:val="46"/>
  </w:num>
  <w:num w:numId="16" w16cid:durableId="1039165055">
    <w:abstractNumId w:val="32"/>
  </w:num>
  <w:num w:numId="17" w16cid:durableId="882981525">
    <w:abstractNumId w:val="48"/>
  </w:num>
  <w:num w:numId="18" w16cid:durableId="1560360200">
    <w:abstractNumId w:val="53"/>
  </w:num>
  <w:num w:numId="19" w16cid:durableId="2042658032">
    <w:abstractNumId w:val="14"/>
  </w:num>
  <w:num w:numId="20" w16cid:durableId="2090300855">
    <w:abstractNumId w:val="7"/>
  </w:num>
  <w:num w:numId="21" w16cid:durableId="607782741">
    <w:abstractNumId w:val="26"/>
  </w:num>
  <w:num w:numId="22" w16cid:durableId="1800493476">
    <w:abstractNumId w:val="11"/>
  </w:num>
  <w:num w:numId="23" w16cid:durableId="870725642">
    <w:abstractNumId w:val="64"/>
  </w:num>
  <w:num w:numId="24" w16cid:durableId="1927492868">
    <w:abstractNumId w:val="24"/>
  </w:num>
  <w:num w:numId="25" w16cid:durableId="413555646">
    <w:abstractNumId w:val="30"/>
  </w:num>
  <w:num w:numId="26" w16cid:durableId="1523088786">
    <w:abstractNumId w:val="2"/>
  </w:num>
  <w:num w:numId="27" w16cid:durableId="2062249009">
    <w:abstractNumId w:val="62"/>
  </w:num>
  <w:num w:numId="28" w16cid:durableId="1786194783">
    <w:abstractNumId w:val="6"/>
  </w:num>
  <w:num w:numId="29" w16cid:durableId="1858041319">
    <w:abstractNumId w:val="47"/>
  </w:num>
  <w:num w:numId="30" w16cid:durableId="1449663995">
    <w:abstractNumId w:val="39"/>
  </w:num>
  <w:num w:numId="31" w16cid:durableId="2107651618">
    <w:abstractNumId w:val="55"/>
  </w:num>
  <w:num w:numId="32" w16cid:durableId="131605128">
    <w:abstractNumId w:val="37"/>
  </w:num>
  <w:num w:numId="33" w16cid:durableId="1573613448">
    <w:abstractNumId w:val="13"/>
  </w:num>
  <w:num w:numId="34" w16cid:durableId="1886526704">
    <w:abstractNumId w:val="23"/>
  </w:num>
  <w:num w:numId="35" w16cid:durableId="1128863989">
    <w:abstractNumId w:val="63"/>
  </w:num>
  <w:num w:numId="36" w16cid:durableId="1998535286">
    <w:abstractNumId w:val="20"/>
  </w:num>
  <w:num w:numId="37" w16cid:durableId="2026054357">
    <w:abstractNumId w:val="29"/>
  </w:num>
  <w:num w:numId="38" w16cid:durableId="130559476">
    <w:abstractNumId w:val="54"/>
  </w:num>
  <w:num w:numId="39" w16cid:durableId="662589306">
    <w:abstractNumId w:val="27"/>
  </w:num>
  <w:num w:numId="40" w16cid:durableId="1824882118">
    <w:abstractNumId w:val="59"/>
  </w:num>
  <w:num w:numId="41" w16cid:durableId="1754356370">
    <w:abstractNumId w:val="34"/>
  </w:num>
  <w:num w:numId="42" w16cid:durableId="559175158">
    <w:abstractNumId w:val="51"/>
  </w:num>
  <w:num w:numId="43" w16cid:durableId="514686193">
    <w:abstractNumId w:val="58"/>
  </w:num>
  <w:num w:numId="44" w16cid:durableId="1838615751">
    <w:abstractNumId w:val="10"/>
  </w:num>
  <w:num w:numId="45" w16cid:durableId="1521698726">
    <w:abstractNumId w:val="3"/>
  </w:num>
  <w:num w:numId="46" w16cid:durableId="1654720288">
    <w:abstractNumId w:val="65"/>
  </w:num>
  <w:num w:numId="47" w16cid:durableId="1714235073">
    <w:abstractNumId w:val="15"/>
  </w:num>
  <w:num w:numId="48" w16cid:durableId="1379403273">
    <w:abstractNumId w:val="22"/>
  </w:num>
  <w:num w:numId="49" w16cid:durableId="1423794989">
    <w:abstractNumId w:val="9"/>
  </w:num>
  <w:num w:numId="50" w16cid:durableId="212158443">
    <w:abstractNumId w:val="57"/>
  </w:num>
  <w:num w:numId="51" w16cid:durableId="603146337">
    <w:abstractNumId w:val="67"/>
  </w:num>
  <w:num w:numId="52" w16cid:durableId="391731630">
    <w:abstractNumId w:val="8"/>
  </w:num>
  <w:num w:numId="53" w16cid:durableId="185367900">
    <w:abstractNumId w:val="66"/>
  </w:num>
  <w:num w:numId="54" w16cid:durableId="1994947754">
    <w:abstractNumId w:val="50"/>
  </w:num>
  <w:num w:numId="55" w16cid:durableId="848907212">
    <w:abstractNumId w:val="12"/>
  </w:num>
  <w:num w:numId="56" w16cid:durableId="1896308500">
    <w:abstractNumId w:val="17"/>
  </w:num>
  <w:num w:numId="57" w16cid:durableId="1549494709">
    <w:abstractNumId w:val="40"/>
  </w:num>
  <w:num w:numId="58" w16cid:durableId="363602070">
    <w:abstractNumId w:val="19"/>
  </w:num>
  <w:num w:numId="59" w16cid:durableId="697122639">
    <w:abstractNumId w:val="38"/>
  </w:num>
  <w:num w:numId="60" w16cid:durableId="210265819">
    <w:abstractNumId w:val="4"/>
  </w:num>
  <w:num w:numId="61" w16cid:durableId="965504723">
    <w:abstractNumId w:val="18"/>
  </w:num>
  <w:num w:numId="62" w16cid:durableId="2061662324">
    <w:abstractNumId w:val="0"/>
  </w:num>
  <w:num w:numId="63" w16cid:durableId="1287544715">
    <w:abstractNumId w:val="16"/>
  </w:num>
  <w:num w:numId="64" w16cid:durableId="4208452">
    <w:abstractNumId w:val="61"/>
  </w:num>
  <w:num w:numId="65" w16cid:durableId="856440">
    <w:abstractNumId w:val="42"/>
  </w:num>
  <w:num w:numId="66" w16cid:durableId="1648509759">
    <w:abstractNumId w:val="1"/>
  </w:num>
  <w:num w:numId="67" w16cid:durableId="459997968">
    <w:abstractNumId w:val="25"/>
  </w:num>
  <w:num w:numId="68" w16cid:durableId="1777674365">
    <w:abstractNumId w:val="6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3CE1"/>
    <w:rsid w:val="000165C0"/>
    <w:rsid w:val="000227BC"/>
    <w:rsid w:val="00023AAA"/>
    <w:rsid w:val="0003069C"/>
    <w:rsid w:val="00032275"/>
    <w:rsid w:val="000342D4"/>
    <w:rsid w:val="00040C56"/>
    <w:rsid w:val="0004611C"/>
    <w:rsid w:val="000462F5"/>
    <w:rsid w:val="0004640F"/>
    <w:rsid w:val="0005210C"/>
    <w:rsid w:val="0005352C"/>
    <w:rsid w:val="00057794"/>
    <w:rsid w:val="00061163"/>
    <w:rsid w:val="00063010"/>
    <w:rsid w:val="000662B4"/>
    <w:rsid w:val="000704FE"/>
    <w:rsid w:val="000725AC"/>
    <w:rsid w:val="00077D88"/>
    <w:rsid w:val="00081393"/>
    <w:rsid w:val="000834A7"/>
    <w:rsid w:val="00085A1C"/>
    <w:rsid w:val="00093142"/>
    <w:rsid w:val="00093283"/>
    <w:rsid w:val="00097B13"/>
    <w:rsid w:val="000A6890"/>
    <w:rsid w:val="000A689D"/>
    <w:rsid w:val="000A691E"/>
    <w:rsid w:val="000A7970"/>
    <w:rsid w:val="000B6DD1"/>
    <w:rsid w:val="000C01BE"/>
    <w:rsid w:val="000C35CA"/>
    <w:rsid w:val="000C3E9C"/>
    <w:rsid w:val="000C51B8"/>
    <w:rsid w:val="000C5EDE"/>
    <w:rsid w:val="000D71AB"/>
    <w:rsid w:val="000E7424"/>
    <w:rsid w:val="000F0D96"/>
    <w:rsid w:val="000F131C"/>
    <w:rsid w:val="000F2D48"/>
    <w:rsid w:val="000F3D5B"/>
    <w:rsid w:val="00100DDB"/>
    <w:rsid w:val="00101711"/>
    <w:rsid w:val="001028E6"/>
    <w:rsid w:val="00106A98"/>
    <w:rsid w:val="00107A82"/>
    <w:rsid w:val="00114E19"/>
    <w:rsid w:val="00115841"/>
    <w:rsid w:val="001161B3"/>
    <w:rsid w:val="00121ABE"/>
    <w:rsid w:val="00122646"/>
    <w:rsid w:val="0012268A"/>
    <w:rsid w:val="00125E8B"/>
    <w:rsid w:val="0013122D"/>
    <w:rsid w:val="00131C96"/>
    <w:rsid w:val="00133138"/>
    <w:rsid w:val="00133566"/>
    <w:rsid w:val="00136C4F"/>
    <w:rsid w:val="00136FB3"/>
    <w:rsid w:val="001376C1"/>
    <w:rsid w:val="0014042A"/>
    <w:rsid w:val="00141D60"/>
    <w:rsid w:val="00141E97"/>
    <w:rsid w:val="00151D68"/>
    <w:rsid w:val="001548DC"/>
    <w:rsid w:val="00154B66"/>
    <w:rsid w:val="001559AB"/>
    <w:rsid w:val="00156678"/>
    <w:rsid w:val="00160769"/>
    <w:rsid w:val="0016092A"/>
    <w:rsid w:val="00161696"/>
    <w:rsid w:val="0016182F"/>
    <w:rsid w:val="00161EF0"/>
    <w:rsid w:val="00162D4E"/>
    <w:rsid w:val="0016306C"/>
    <w:rsid w:val="0016791F"/>
    <w:rsid w:val="00170729"/>
    <w:rsid w:val="001713EB"/>
    <w:rsid w:val="0017621E"/>
    <w:rsid w:val="001773ED"/>
    <w:rsid w:val="00182454"/>
    <w:rsid w:val="001841C0"/>
    <w:rsid w:val="00185153"/>
    <w:rsid w:val="0018695D"/>
    <w:rsid w:val="001873D1"/>
    <w:rsid w:val="00196BC2"/>
    <w:rsid w:val="001A17A4"/>
    <w:rsid w:val="001A1CB4"/>
    <w:rsid w:val="001A1D6E"/>
    <w:rsid w:val="001A34F7"/>
    <w:rsid w:val="001A63FE"/>
    <w:rsid w:val="001B07B6"/>
    <w:rsid w:val="001C2A1D"/>
    <w:rsid w:val="001C2B72"/>
    <w:rsid w:val="001C6301"/>
    <w:rsid w:val="001C6764"/>
    <w:rsid w:val="001C6F87"/>
    <w:rsid w:val="001D08C0"/>
    <w:rsid w:val="001D199F"/>
    <w:rsid w:val="001D1CCE"/>
    <w:rsid w:val="001D77BA"/>
    <w:rsid w:val="001D79B0"/>
    <w:rsid w:val="001E3ED6"/>
    <w:rsid w:val="001E62AA"/>
    <w:rsid w:val="001F3666"/>
    <w:rsid w:val="001F4FF0"/>
    <w:rsid w:val="001F5083"/>
    <w:rsid w:val="001F6994"/>
    <w:rsid w:val="002035F3"/>
    <w:rsid w:val="00212BC6"/>
    <w:rsid w:val="00213E01"/>
    <w:rsid w:val="00217525"/>
    <w:rsid w:val="002203BA"/>
    <w:rsid w:val="00221E83"/>
    <w:rsid w:val="002243F8"/>
    <w:rsid w:val="002246F8"/>
    <w:rsid w:val="00225151"/>
    <w:rsid w:val="0023055F"/>
    <w:rsid w:val="00230E42"/>
    <w:rsid w:val="002324C5"/>
    <w:rsid w:val="002355FF"/>
    <w:rsid w:val="00236712"/>
    <w:rsid w:val="002412D2"/>
    <w:rsid w:val="002454B5"/>
    <w:rsid w:val="00247B24"/>
    <w:rsid w:val="00250218"/>
    <w:rsid w:val="00256B48"/>
    <w:rsid w:val="002601BF"/>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2ED"/>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B7920"/>
    <w:rsid w:val="002C44F7"/>
    <w:rsid w:val="002C672C"/>
    <w:rsid w:val="002D01A2"/>
    <w:rsid w:val="002D1110"/>
    <w:rsid w:val="002D41DA"/>
    <w:rsid w:val="002D7200"/>
    <w:rsid w:val="002E21D7"/>
    <w:rsid w:val="002E6166"/>
    <w:rsid w:val="002E7A33"/>
    <w:rsid w:val="002F0615"/>
    <w:rsid w:val="003063C8"/>
    <w:rsid w:val="00306937"/>
    <w:rsid w:val="00311497"/>
    <w:rsid w:val="00311BAC"/>
    <w:rsid w:val="00313C75"/>
    <w:rsid w:val="003150FA"/>
    <w:rsid w:val="00317214"/>
    <w:rsid w:val="0032195E"/>
    <w:rsid w:val="003224B4"/>
    <w:rsid w:val="00323F4A"/>
    <w:rsid w:val="003249E0"/>
    <w:rsid w:val="00325AAB"/>
    <w:rsid w:val="00327CB8"/>
    <w:rsid w:val="00330610"/>
    <w:rsid w:val="00330FF2"/>
    <w:rsid w:val="003324F9"/>
    <w:rsid w:val="00337997"/>
    <w:rsid w:val="00343E7A"/>
    <w:rsid w:val="00345691"/>
    <w:rsid w:val="00352AD3"/>
    <w:rsid w:val="00353FD1"/>
    <w:rsid w:val="00356BF2"/>
    <w:rsid w:val="003601E7"/>
    <w:rsid w:val="00363397"/>
    <w:rsid w:val="00363449"/>
    <w:rsid w:val="00367CE1"/>
    <w:rsid w:val="00372B50"/>
    <w:rsid w:val="00375C39"/>
    <w:rsid w:val="00376327"/>
    <w:rsid w:val="003842AC"/>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4294"/>
    <w:rsid w:val="003E583D"/>
    <w:rsid w:val="003E6F55"/>
    <w:rsid w:val="003F0E4D"/>
    <w:rsid w:val="003F717E"/>
    <w:rsid w:val="00401591"/>
    <w:rsid w:val="00401F20"/>
    <w:rsid w:val="00403AB6"/>
    <w:rsid w:val="00412EB9"/>
    <w:rsid w:val="00413F1C"/>
    <w:rsid w:val="00416802"/>
    <w:rsid w:val="00425585"/>
    <w:rsid w:val="00427BE2"/>
    <w:rsid w:val="004309A1"/>
    <w:rsid w:val="00431FDD"/>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66B2"/>
    <w:rsid w:val="00477E7B"/>
    <w:rsid w:val="00481661"/>
    <w:rsid w:val="00481C2B"/>
    <w:rsid w:val="004857B6"/>
    <w:rsid w:val="0048793A"/>
    <w:rsid w:val="00497207"/>
    <w:rsid w:val="004A019A"/>
    <w:rsid w:val="004A0E61"/>
    <w:rsid w:val="004A2C75"/>
    <w:rsid w:val="004A7BDA"/>
    <w:rsid w:val="004B0BD0"/>
    <w:rsid w:val="004B1097"/>
    <w:rsid w:val="004B1623"/>
    <w:rsid w:val="004B2530"/>
    <w:rsid w:val="004B3E52"/>
    <w:rsid w:val="004B449A"/>
    <w:rsid w:val="004B656E"/>
    <w:rsid w:val="004C2B7B"/>
    <w:rsid w:val="004C417C"/>
    <w:rsid w:val="004C7D23"/>
    <w:rsid w:val="004D197E"/>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0CE2"/>
    <w:rsid w:val="00537CEB"/>
    <w:rsid w:val="0054042F"/>
    <w:rsid w:val="00541926"/>
    <w:rsid w:val="00546871"/>
    <w:rsid w:val="00552B84"/>
    <w:rsid w:val="0055479E"/>
    <w:rsid w:val="005628C9"/>
    <w:rsid w:val="00564380"/>
    <w:rsid w:val="00564944"/>
    <w:rsid w:val="0056564F"/>
    <w:rsid w:val="00571B13"/>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2D40"/>
    <w:rsid w:val="005B526E"/>
    <w:rsid w:val="005B71B2"/>
    <w:rsid w:val="005C27F8"/>
    <w:rsid w:val="005C55CE"/>
    <w:rsid w:val="005C6413"/>
    <w:rsid w:val="005D0FAA"/>
    <w:rsid w:val="005D2038"/>
    <w:rsid w:val="005D4470"/>
    <w:rsid w:val="005D787A"/>
    <w:rsid w:val="005D7A76"/>
    <w:rsid w:val="005E3ACA"/>
    <w:rsid w:val="005E3E4E"/>
    <w:rsid w:val="005F0BAB"/>
    <w:rsid w:val="005F1BAA"/>
    <w:rsid w:val="005F227E"/>
    <w:rsid w:val="005F41FC"/>
    <w:rsid w:val="005F51BF"/>
    <w:rsid w:val="005F5408"/>
    <w:rsid w:val="005F651E"/>
    <w:rsid w:val="00604A91"/>
    <w:rsid w:val="00604DED"/>
    <w:rsid w:val="00612253"/>
    <w:rsid w:val="00615632"/>
    <w:rsid w:val="00615E9F"/>
    <w:rsid w:val="00616F7D"/>
    <w:rsid w:val="00617982"/>
    <w:rsid w:val="00620ED7"/>
    <w:rsid w:val="00621B4B"/>
    <w:rsid w:val="0062325E"/>
    <w:rsid w:val="0062394F"/>
    <w:rsid w:val="00623FE1"/>
    <w:rsid w:val="00624337"/>
    <w:rsid w:val="0062753E"/>
    <w:rsid w:val="00631F2E"/>
    <w:rsid w:val="006369BF"/>
    <w:rsid w:val="00641180"/>
    <w:rsid w:val="00642DD7"/>
    <w:rsid w:val="00643376"/>
    <w:rsid w:val="006434DA"/>
    <w:rsid w:val="00643639"/>
    <w:rsid w:val="00645A14"/>
    <w:rsid w:val="00646D67"/>
    <w:rsid w:val="0064731C"/>
    <w:rsid w:val="00652CE7"/>
    <w:rsid w:val="00656425"/>
    <w:rsid w:val="006658A7"/>
    <w:rsid w:val="0066668E"/>
    <w:rsid w:val="00666966"/>
    <w:rsid w:val="00667391"/>
    <w:rsid w:val="00671685"/>
    <w:rsid w:val="00675B1A"/>
    <w:rsid w:val="00685B86"/>
    <w:rsid w:val="006909F1"/>
    <w:rsid w:val="006912D8"/>
    <w:rsid w:val="00692C28"/>
    <w:rsid w:val="00695668"/>
    <w:rsid w:val="006A0045"/>
    <w:rsid w:val="006A2C38"/>
    <w:rsid w:val="006A2EE7"/>
    <w:rsid w:val="006A2FA5"/>
    <w:rsid w:val="006A4378"/>
    <w:rsid w:val="006A4DD2"/>
    <w:rsid w:val="006A5A10"/>
    <w:rsid w:val="006A675A"/>
    <w:rsid w:val="006B34F4"/>
    <w:rsid w:val="006B4D67"/>
    <w:rsid w:val="006B52B8"/>
    <w:rsid w:val="006B5DDA"/>
    <w:rsid w:val="006C2FB3"/>
    <w:rsid w:val="006C4B83"/>
    <w:rsid w:val="006E064B"/>
    <w:rsid w:val="006E080E"/>
    <w:rsid w:val="006E157B"/>
    <w:rsid w:val="006E22C4"/>
    <w:rsid w:val="006F0E74"/>
    <w:rsid w:val="006F7558"/>
    <w:rsid w:val="0070077F"/>
    <w:rsid w:val="00711F21"/>
    <w:rsid w:val="00712190"/>
    <w:rsid w:val="00712530"/>
    <w:rsid w:val="00712F46"/>
    <w:rsid w:val="007138CB"/>
    <w:rsid w:val="00715CDC"/>
    <w:rsid w:val="00716B4B"/>
    <w:rsid w:val="007172D9"/>
    <w:rsid w:val="00720F77"/>
    <w:rsid w:val="00721F9F"/>
    <w:rsid w:val="00723080"/>
    <w:rsid w:val="007274F3"/>
    <w:rsid w:val="00727C33"/>
    <w:rsid w:val="00735162"/>
    <w:rsid w:val="00735963"/>
    <w:rsid w:val="00736472"/>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95A0D"/>
    <w:rsid w:val="007A14D0"/>
    <w:rsid w:val="007A26BE"/>
    <w:rsid w:val="007B36AC"/>
    <w:rsid w:val="007B6AA4"/>
    <w:rsid w:val="007B7B85"/>
    <w:rsid w:val="007C0ABA"/>
    <w:rsid w:val="007C5366"/>
    <w:rsid w:val="007C65FF"/>
    <w:rsid w:val="007D1F41"/>
    <w:rsid w:val="007D331B"/>
    <w:rsid w:val="007D36D9"/>
    <w:rsid w:val="007D36DE"/>
    <w:rsid w:val="007D715A"/>
    <w:rsid w:val="007E2B82"/>
    <w:rsid w:val="007E3482"/>
    <w:rsid w:val="007E3E5B"/>
    <w:rsid w:val="007F0445"/>
    <w:rsid w:val="007F1F8E"/>
    <w:rsid w:val="007F406A"/>
    <w:rsid w:val="007F5D7C"/>
    <w:rsid w:val="0080247C"/>
    <w:rsid w:val="00805035"/>
    <w:rsid w:val="0080515E"/>
    <w:rsid w:val="00812DA4"/>
    <w:rsid w:val="0082109D"/>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3861"/>
    <w:rsid w:val="008646D7"/>
    <w:rsid w:val="00871566"/>
    <w:rsid w:val="008716A1"/>
    <w:rsid w:val="00871ABA"/>
    <w:rsid w:val="00877270"/>
    <w:rsid w:val="00880945"/>
    <w:rsid w:val="008818BC"/>
    <w:rsid w:val="00881E33"/>
    <w:rsid w:val="008834BA"/>
    <w:rsid w:val="00883BA0"/>
    <w:rsid w:val="00887000"/>
    <w:rsid w:val="00890240"/>
    <w:rsid w:val="008902F9"/>
    <w:rsid w:val="008940FE"/>
    <w:rsid w:val="00894D00"/>
    <w:rsid w:val="008A569B"/>
    <w:rsid w:val="008A5C12"/>
    <w:rsid w:val="008A68F7"/>
    <w:rsid w:val="008B47F3"/>
    <w:rsid w:val="008B49B1"/>
    <w:rsid w:val="008B62CC"/>
    <w:rsid w:val="008C0CF2"/>
    <w:rsid w:val="008C496A"/>
    <w:rsid w:val="008C62D1"/>
    <w:rsid w:val="008D1E97"/>
    <w:rsid w:val="008D3031"/>
    <w:rsid w:val="008D413B"/>
    <w:rsid w:val="008D4F8B"/>
    <w:rsid w:val="008D7F9F"/>
    <w:rsid w:val="008E3A7C"/>
    <w:rsid w:val="008E5715"/>
    <w:rsid w:val="008E774F"/>
    <w:rsid w:val="008E7A59"/>
    <w:rsid w:val="008F1C7B"/>
    <w:rsid w:val="00903108"/>
    <w:rsid w:val="00903F4E"/>
    <w:rsid w:val="00906031"/>
    <w:rsid w:val="00910337"/>
    <w:rsid w:val="00911615"/>
    <w:rsid w:val="0091371E"/>
    <w:rsid w:val="00916726"/>
    <w:rsid w:val="00916CCE"/>
    <w:rsid w:val="009245D9"/>
    <w:rsid w:val="0092484D"/>
    <w:rsid w:val="0093273D"/>
    <w:rsid w:val="00932911"/>
    <w:rsid w:val="009369C0"/>
    <w:rsid w:val="00940423"/>
    <w:rsid w:val="00940A6E"/>
    <w:rsid w:val="00941CBB"/>
    <w:rsid w:val="009420C4"/>
    <w:rsid w:val="00942B94"/>
    <w:rsid w:val="00942BC4"/>
    <w:rsid w:val="00945E65"/>
    <w:rsid w:val="00946CA2"/>
    <w:rsid w:val="00947B9D"/>
    <w:rsid w:val="009507AF"/>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5852"/>
    <w:rsid w:val="00976DBB"/>
    <w:rsid w:val="00977DED"/>
    <w:rsid w:val="00980383"/>
    <w:rsid w:val="00980732"/>
    <w:rsid w:val="0098086E"/>
    <w:rsid w:val="00983099"/>
    <w:rsid w:val="009838BC"/>
    <w:rsid w:val="00985C44"/>
    <w:rsid w:val="0099520F"/>
    <w:rsid w:val="009A170B"/>
    <w:rsid w:val="009A3E04"/>
    <w:rsid w:val="009A451C"/>
    <w:rsid w:val="009B15F3"/>
    <w:rsid w:val="009B188F"/>
    <w:rsid w:val="009B578B"/>
    <w:rsid w:val="009B595B"/>
    <w:rsid w:val="009B61E7"/>
    <w:rsid w:val="009B7179"/>
    <w:rsid w:val="009B7E7B"/>
    <w:rsid w:val="009C18D9"/>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27C52"/>
    <w:rsid w:val="00A32CDB"/>
    <w:rsid w:val="00A368E8"/>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4838"/>
    <w:rsid w:val="00A9714B"/>
    <w:rsid w:val="00AA4793"/>
    <w:rsid w:val="00AB4BC3"/>
    <w:rsid w:val="00AB7305"/>
    <w:rsid w:val="00AB7B72"/>
    <w:rsid w:val="00AC1759"/>
    <w:rsid w:val="00AC4C66"/>
    <w:rsid w:val="00AD0807"/>
    <w:rsid w:val="00AE24F9"/>
    <w:rsid w:val="00AE5D5F"/>
    <w:rsid w:val="00AF2511"/>
    <w:rsid w:val="00AF381E"/>
    <w:rsid w:val="00AF6602"/>
    <w:rsid w:val="00AF694B"/>
    <w:rsid w:val="00AF731D"/>
    <w:rsid w:val="00B043CD"/>
    <w:rsid w:val="00B04571"/>
    <w:rsid w:val="00B055F4"/>
    <w:rsid w:val="00B07A5E"/>
    <w:rsid w:val="00B07D0E"/>
    <w:rsid w:val="00B20036"/>
    <w:rsid w:val="00B2085A"/>
    <w:rsid w:val="00B215E1"/>
    <w:rsid w:val="00B243BA"/>
    <w:rsid w:val="00B31E52"/>
    <w:rsid w:val="00B32622"/>
    <w:rsid w:val="00B33D6A"/>
    <w:rsid w:val="00B37761"/>
    <w:rsid w:val="00B4085A"/>
    <w:rsid w:val="00B422C9"/>
    <w:rsid w:val="00B438FF"/>
    <w:rsid w:val="00B44291"/>
    <w:rsid w:val="00B45026"/>
    <w:rsid w:val="00B50613"/>
    <w:rsid w:val="00B55FF7"/>
    <w:rsid w:val="00B64026"/>
    <w:rsid w:val="00B65B50"/>
    <w:rsid w:val="00B7077B"/>
    <w:rsid w:val="00B738C2"/>
    <w:rsid w:val="00B73D0E"/>
    <w:rsid w:val="00B7521E"/>
    <w:rsid w:val="00B8114F"/>
    <w:rsid w:val="00B85A48"/>
    <w:rsid w:val="00B87F9D"/>
    <w:rsid w:val="00B94425"/>
    <w:rsid w:val="00BA1D64"/>
    <w:rsid w:val="00BA6943"/>
    <w:rsid w:val="00BB464B"/>
    <w:rsid w:val="00BB5C74"/>
    <w:rsid w:val="00BB7056"/>
    <w:rsid w:val="00BC1003"/>
    <w:rsid w:val="00BC50B3"/>
    <w:rsid w:val="00BC681F"/>
    <w:rsid w:val="00BC7AC0"/>
    <w:rsid w:val="00BC7B62"/>
    <w:rsid w:val="00BD0DC5"/>
    <w:rsid w:val="00BD1CB6"/>
    <w:rsid w:val="00BD1D1A"/>
    <w:rsid w:val="00BD3092"/>
    <w:rsid w:val="00BD726F"/>
    <w:rsid w:val="00BE2A2D"/>
    <w:rsid w:val="00BE3127"/>
    <w:rsid w:val="00BE52A2"/>
    <w:rsid w:val="00BF04B3"/>
    <w:rsid w:val="00BF3998"/>
    <w:rsid w:val="00BF4758"/>
    <w:rsid w:val="00BF744C"/>
    <w:rsid w:val="00C01972"/>
    <w:rsid w:val="00C028FF"/>
    <w:rsid w:val="00C05B6A"/>
    <w:rsid w:val="00C10B7E"/>
    <w:rsid w:val="00C11126"/>
    <w:rsid w:val="00C111A5"/>
    <w:rsid w:val="00C1280C"/>
    <w:rsid w:val="00C15D28"/>
    <w:rsid w:val="00C15D3F"/>
    <w:rsid w:val="00C16A35"/>
    <w:rsid w:val="00C221B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3668"/>
    <w:rsid w:val="00C74533"/>
    <w:rsid w:val="00C76F39"/>
    <w:rsid w:val="00C77879"/>
    <w:rsid w:val="00C8105B"/>
    <w:rsid w:val="00C83EFC"/>
    <w:rsid w:val="00C87EE7"/>
    <w:rsid w:val="00C91CE2"/>
    <w:rsid w:val="00C92558"/>
    <w:rsid w:val="00CA0474"/>
    <w:rsid w:val="00CA2DAF"/>
    <w:rsid w:val="00CA5EAF"/>
    <w:rsid w:val="00CB17FD"/>
    <w:rsid w:val="00CB4ED5"/>
    <w:rsid w:val="00CB68C4"/>
    <w:rsid w:val="00CB6D38"/>
    <w:rsid w:val="00CC2A52"/>
    <w:rsid w:val="00CC47CC"/>
    <w:rsid w:val="00CC5E1D"/>
    <w:rsid w:val="00CD1EC3"/>
    <w:rsid w:val="00CD3B35"/>
    <w:rsid w:val="00CD420C"/>
    <w:rsid w:val="00CD4937"/>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598"/>
    <w:rsid w:val="00D529C3"/>
    <w:rsid w:val="00D53B74"/>
    <w:rsid w:val="00D551E7"/>
    <w:rsid w:val="00D60F6F"/>
    <w:rsid w:val="00D6270E"/>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14F"/>
    <w:rsid w:val="00DB23B3"/>
    <w:rsid w:val="00DB34C6"/>
    <w:rsid w:val="00DB4700"/>
    <w:rsid w:val="00DB5DD2"/>
    <w:rsid w:val="00DC523C"/>
    <w:rsid w:val="00DC7D3C"/>
    <w:rsid w:val="00DD0B01"/>
    <w:rsid w:val="00DD0D33"/>
    <w:rsid w:val="00DD522A"/>
    <w:rsid w:val="00DE06CC"/>
    <w:rsid w:val="00DE10AF"/>
    <w:rsid w:val="00DE1EA1"/>
    <w:rsid w:val="00DE408F"/>
    <w:rsid w:val="00DF4D22"/>
    <w:rsid w:val="00E006B8"/>
    <w:rsid w:val="00E017E3"/>
    <w:rsid w:val="00E1373E"/>
    <w:rsid w:val="00E158BA"/>
    <w:rsid w:val="00E15F68"/>
    <w:rsid w:val="00E20D04"/>
    <w:rsid w:val="00E2176A"/>
    <w:rsid w:val="00E21C38"/>
    <w:rsid w:val="00E22CE1"/>
    <w:rsid w:val="00E249B5"/>
    <w:rsid w:val="00E273FE"/>
    <w:rsid w:val="00E321FF"/>
    <w:rsid w:val="00E367A5"/>
    <w:rsid w:val="00E36BF3"/>
    <w:rsid w:val="00E4027D"/>
    <w:rsid w:val="00E420D9"/>
    <w:rsid w:val="00E4646A"/>
    <w:rsid w:val="00E520B5"/>
    <w:rsid w:val="00E5577F"/>
    <w:rsid w:val="00E5595E"/>
    <w:rsid w:val="00E57B60"/>
    <w:rsid w:val="00E605EA"/>
    <w:rsid w:val="00E6080A"/>
    <w:rsid w:val="00E61011"/>
    <w:rsid w:val="00E62D15"/>
    <w:rsid w:val="00E6671C"/>
    <w:rsid w:val="00E667F5"/>
    <w:rsid w:val="00E720E9"/>
    <w:rsid w:val="00E72AB4"/>
    <w:rsid w:val="00E7305E"/>
    <w:rsid w:val="00E74055"/>
    <w:rsid w:val="00E77177"/>
    <w:rsid w:val="00E77EAE"/>
    <w:rsid w:val="00E806F5"/>
    <w:rsid w:val="00E80B39"/>
    <w:rsid w:val="00E87B4D"/>
    <w:rsid w:val="00E93756"/>
    <w:rsid w:val="00E93DB7"/>
    <w:rsid w:val="00E95D72"/>
    <w:rsid w:val="00E96CF6"/>
    <w:rsid w:val="00EA45A2"/>
    <w:rsid w:val="00EA594D"/>
    <w:rsid w:val="00EA5C76"/>
    <w:rsid w:val="00EA7BE0"/>
    <w:rsid w:val="00EB0F80"/>
    <w:rsid w:val="00EB5759"/>
    <w:rsid w:val="00EB66D7"/>
    <w:rsid w:val="00EC660D"/>
    <w:rsid w:val="00EC74FC"/>
    <w:rsid w:val="00EE02B1"/>
    <w:rsid w:val="00EE0E20"/>
    <w:rsid w:val="00EE2E3E"/>
    <w:rsid w:val="00EE7070"/>
    <w:rsid w:val="00EE767B"/>
    <w:rsid w:val="00EF055C"/>
    <w:rsid w:val="00EF171F"/>
    <w:rsid w:val="00EF48BA"/>
    <w:rsid w:val="00EF52D3"/>
    <w:rsid w:val="00EF53C0"/>
    <w:rsid w:val="00EF6253"/>
    <w:rsid w:val="00EF6623"/>
    <w:rsid w:val="00EF76A3"/>
    <w:rsid w:val="00F00C0B"/>
    <w:rsid w:val="00F00DD4"/>
    <w:rsid w:val="00F047CE"/>
    <w:rsid w:val="00F072A0"/>
    <w:rsid w:val="00F11317"/>
    <w:rsid w:val="00F1147D"/>
    <w:rsid w:val="00F11E0F"/>
    <w:rsid w:val="00F16742"/>
    <w:rsid w:val="00F1680C"/>
    <w:rsid w:val="00F16A43"/>
    <w:rsid w:val="00F304C1"/>
    <w:rsid w:val="00F352E3"/>
    <w:rsid w:val="00F458D9"/>
    <w:rsid w:val="00F45D8E"/>
    <w:rsid w:val="00F4654C"/>
    <w:rsid w:val="00F565D6"/>
    <w:rsid w:val="00F566B9"/>
    <w:rsid w:val="00F5685A"/>
    <w:rsid w:val="00F630CE"/>
    <w:rsid w:val="00F64BA1"/>
    <w:rsid w:val="00F674AF"/>
    <w:rsid w:val="00F679D7"/>
    <w:rsid w:val="00F71E73"/>
    <w:rsid w:val="00F77678"/>
    <w:rsid w:val="00F8049B"/>
    <w:rsid w:val="00F8299B"/>
    <w:rsid w:val="00F918C3"/>
    <w:rsid w:val="00F92B1C"/>
    <w:rsid w:val="00F962D7"/>
    <w:rsid w:val="00F96547"/>
    <w:rsid w:val="00F971E5"/>
    <w:rsid w:val="00FA0514"/>
    <w:rsid w:val="00FA1F13"/>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56542611">
      <w:bodyDiv w:val="1"/>
      <w:marLeft w:val="0"/>
      <w:marRight w:val="0"/>
      <w:marTop w:val="0"/>
      <w:marBottom w:val="0"/>
      <w:divBdr>
        <w:top w:val="none" w:sz="0" w:space="0" w:color="auto"/>
        <w:left w:val="none" w:sz="0" w:space="0" w:color="auto"/>
        <w:bottom w:val="none" w:sz="0" w:space="0" w:color="auto"/>
        <w:right w:val="none" w:sz="0" w:space="0" w:color="auto"/>
      </w:divBdr>
    </w:div>
    <w:div w:id="384062106">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007367122">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103">
      <w:bodyDiv w:val="1"/>
      <w:marLeft w:val="0"/>
      <w:marRight w:val="0"/>
      <w:marTop w:val="0"/>
      <w:marBottom w:val="0"/>
      <w:divBdr>
        <w:top w:val="none" w:sz="0" w:space="0" w:color="auto"/>
        <w:left w:val="none" w:sz="0" w:space="0" w:color="auto"/>
        <w:bottom w:val="none" w:sz="0" w:space="0" w:color="auto"/>
        <w:right w:val="none" w:sz="0" w:space="0" w:color="auto"/>
      </w:divBdr>
    </w:div>
    <w:div w:id="1430201244">
      <w:bodyDiv w:val="1"/>
      <w:marLeft w:val="0"/>
      <w:marRight w:val="0"/>
      <w:marTop w:val="0"/>
      <w:marBottom w:val="0"/>
      <w:divBdr>
        <w:top w:val="none" w:sz="0" w:space="0" w:color="auto"/>
        <w:left w:val="none" w:sz="0" w:space="0" w:color="auto"/>
        <w:bottom w:val="none" w:sz="0" w:space="0" w:color="auto"/>
        <w:right w:val="none" w:sz="0" w:space="0" w:color="auto"/>
      </w:divBdr>
    </w:div>
    <w:div w:id="1454589817">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31734601">
      <w:bodyDiv w:val="1"/>
      <w:marLeft w:val="0"/>
      <w:marRight w:val="0"/>
      <w:marTop w:val="0"/>
      <w:marBottom w:val="0"/>
      <w:divBdr>
        <w:top w:val="none" w:sz="0" w:space="0" w:color="auto"/>
        <w:left w:val="none" w:sz="0" w:space="0" w:color="auto"/>
        <w:bottom w:val="none" w:sz="0" w:space="0" w:color="auto"/>
        <w:right w:val="none" w:sz="0" w:space="0" w:color="auto"/>
      </w:divBdr>
    </w:div>
    <w:div w:id="1822311829">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ae8f62-32db-4764-a673-0a8d52adf9ae" xsi:nil="true"/>
    <lcf76f155ced4ddcb4097134ff3c332f xmlns="14c9a7cd-11c5-4c95-b562-4551e724b5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6BD61-46C5-40D7-9905-33802871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c9ae8f62-32db-4764-a673-0a8d52adf9ae"/>
    <ds:schemaRef ds:uri="14c9a7cd-11c5-4c95-b562-4551e724b51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Clerk</cp:lastModifiedBy>
  <cp:revision>53</cp:revision>
  <cp:lastPrinted>2018-03-14T11:56:00Z</cp:lastPrinted>
  <dcterms:created xsi:type="dcterms:W3CDTF">2025-04-17T10:54:00Z</dcterms:created>
  <dcterms:modified xsi:type="dcterms:W3CDTF">2025-04-18T10:09:00Z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Order">
    <vt:r8>253900</vt:r8>
  </property>
  <property fmtid="{D5CDD505-2E9C-101B-9397-08002B2CF9AE}" pid="4" name="MediaServiceImageTags">
    <vt:lpwstr/>
  </property>
</Properties>
</file>